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1" w:rsidRDefault="00AA51A1" w:rsidP="00AA51A1">
      <w:pPr>
        <w:jc w:val="center"/>
        <w:rPr>
          <w:rFonts w:ascii="宋体" w:hAnsi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河南省驻马店财经学校</w:t>
      </w:r>
    </w:p>
    <w:p w:rsidR="00AA51A1" w:rsidRDefault="00AA51A1" w:rsidP="00AA51A1">
      <w:pPr>
        <w:jc w:val="center"/>
        <w:rPr>
          <w:b/>
          <w:bCs/>
          <w:sz w:val="44"/>
          <w:szCs w:val="44"/>
        </w:rPr>
      </w:pPr>
      <w:r w:rsidRPr="00AA51A1">
        <w:rPr>
          <w:rFonts w:ascii="宋体" w:hAnsi="宋体" w:hint="eastAsia"/>
          <w:b/>
          <w:bCs/>
          <w:sz w:val="44"/>
          <w:szCs w:val="44"/>
        </w:rPr>
        <w:t>中心机房UPS系统维护及扩容项目</w:t>
      </w:r>
      <w:r>
        <w:rPr>
          <w:rFonts w:ascii="宋体" w:hAnsi="宋体" w:hint="eastAsia"/>
          <w:b/>
          <w:bCs/>
          <w:sz w:val="44"/>
          <w:szCs w:val="44"/>
        </w:rPr>
        <w:t>询价公告</w:t>
      </w:r>
    </w:p>
    <w:p w:rsidR="00AA51A1" w:rsidRDefault="00AA51A1" w:rsidP="00AA51A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AA51A1" w:rsidRDefault="00AA51A1" w:rsidP="00AA51A1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项目名称：中心机房</w:t>
      </w:r>
      <w:r>
        <w:rPr>
          <w:rFonts w:cs="Calibri" w:hint="eastAsia"/>
          <w:sz w:val="30"/>
          <w:szCs w:val="30"/>
        </w:rPr>
        <w:t>UPS</w:t>
      </w:r>
      <w:r>
        <w:rPr>
          <w:rFonts w:ascii="宋体" w:hAnsi="宋体" w:hint="eastAsia"/>
          <w:sz w:val="30"/>
          <w:szCs w:val="30"/>
        </w:rPr>
        <w:t>系统维护及扩容项目。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项目预算：</w:t>
      </w:r>
      <w:r>
        <w:rPr>
          <w:rFonts w:cs="Calibri" w:hint="eastAsia"/>
          <w:sz w:val="30"/>
          <w:szCs w:val="30"/>
        </w:rPr>
        <w:t>150481</w:t>
      </w:r>
      <w:r>
        <w:rPr>
          <w:rFonts w:ascii="宋体" w:hAnsi="宋体" w:hint="eastAsia"/>
          <w:sz w:val="30"/>
          <w:szCs w:val="30"/>
        </w:rPr>
        <w:t>元。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询价方式：现场询价。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询价内容及技术、商务要求：见附件。</w:t>
      </w:r>
    </w:p>
    <w:p w:rsidR="00AA51A1" w:rsidRDefault="00AA51A1" w:rsidP="00AA51A1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供应商所投产品必须满足附件中的技术及商务要求，否则，因此造成的损失由供应商负责。</w:t>
      </w:r>
    </w:p>
    <w:p w:rsidR="00AA51A1" w:rsidRDefault="00AA51A1" w:rsidP="00AA51A1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参与询价的供应</w:t>
      </w:r>
      <w:proofErr w:type="gramStart"/>
      <w:r>
        <w:rPr>
          <w:rFonts w:ascii="宋体" w:hAnsi="宋体" w:hint="eastAsia"/>
          <w:sz w:val="28"/>
          <w:szCs w:val="28"/>
        </w:rPr>
        <w:t>商现场</w:t>
      </w:r>
      <w:proofErr w:type="gramEnd"/>
      <w:r>
        <w:rPr>
          <w:rFonts w:ascii="宋体" w:hAnsi="宋体" w:hint="eastAsia"/>
          <w:sz w:val="28"/>
          <w:szCs w:val="28"/>
        </w:rPr>
        <w:t>询价时须提交营业执照副本复印件、法人授权委托书原件及被授权人身份证原件和复印件。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询价时间：</w:t>
      </w:r>
      <w:r>
        <w:rPr>
          <w:rFonts w:cs="Calibri" w:hint="eastAsia"/>
          <w:sz w:val="28"/>
          <w:szCs w:val="28"/>
        </w:rPr>
        <w:t>2025</w:t>
      </w: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cs="Calibri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cs="Calibri"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日下午</w:t>
      </w:r>
      <w:r>
        <w:rPr>
          <w:rFonts w:cs="Calibri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cs="Calibri" w:hint="eastAsia"/>
          <w:sz w:val="28"/>
          <w:szCs w:val="28"/>
        </w:rPr>
        <w:t>00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询价地点：</w:t>
      </w:r>
      <w:r>
        <w:rPr>
          <w:rFonts w:cs="Calibri" w:hint="eastAsia"/>
          <w:sz w:val="28"/>
          <w:szCs w:val="28"/>
        </w:rPr>
        <w:t>D1</w:t>
      </w:r>
      <w:r>
        <w:rPr>
          <w:rFonts w:ascii="宋体" w:hAnsi="宋体" w:hint="eastAsia"/>
          <w:sz w:val="28"/>
          <w:szCs w:val="28"/>
        </w:rPr>
        <w:t>—</w:t>
      </w:r>
      <w:r>
        <w:rPr>
          <w:rFonts w:cs="Calibri" w:hint="eastAsia"/>
          <w:sz w:val="28"/>
          <w:szCs w:val="28"/>
        </w:rPr>
        <w:t>620</w:t>
      </w:r>
      <w:r>
        <w:rPr>
          <w:rFonts w:ascii="宋体" w:hAnsi="宋体" w:hint="eastAsia"/>
          <w:sz w:val="28"/>
          <w:szCs w:val="28"/>
        </w:rPr>
        <w:t>（会议室）。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报名时间：</w:t>
      </w:r>
      <w:r>
        <w:rPr>
          <w:rFonts w:cs="Calibri" w:hint="eastAsia"/>
          <w:sz w:val="28"/>
          <w:szCs w:val="28"/>
        </w:rPr>
        <w:t>2025</w:t>
      </w: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cs="Calibri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cs="Calibri" w:hint="eastAsia"/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cs="Calibri" w:hint="eastAsia"/>
          <w:sz w:val="28"/>
          <w:szCs w:val="28"/>
        </w:rPr>
        <w:t>2025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cs="Calibri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cs="Calibri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日（上午</w:t>
      </w:r>
      <w:r>
        <w:rPr>
          <w:rFonts w:cs="Calibri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cs="Calibri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cs="Calibri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cs="Calibri" w:hint="eastAsia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，下午</w:t>
      </w:r>
      <w:r>
        <w:rPr>
          <w:rFonts w:cs="Calibri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cs="Calibri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cs="Calibri" w:hint="eastAsia"/>
          <w:sz w:val="28"/>
          <w:szCs w:val="28"/>
        </w:rPr>
        <w:t>17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cs="Calibri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）（法定节假日除外）。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报名方式：现场报名。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报名地点：河南省驻马店财经学校</w:t>
      </w:r>
      <w:r>
        <w:rPr>
          <w:rFonts w:cs="Calibri" w:hint="eastAsia"/>
          <w:sz w:val="28"/>
          <w:szCs w:val="28"/>
        </w:rPr>
        <w:t>D1</w:t>
      </w:r>
      <w:r>
        <w:rPr>
          <w:rFonts w:ascii="宋体" w:hAnsi="宋体" w:hint="eastAsia"/>
          <w:sz w:val="28"/>
          <w:szCs w:val="28"/>
        </w:rPr>
        <w:t>—</w:t>
      </w:r>
      <w:r>
        <w:rPr>
          <w:rFonts w:cs="Calibri" w:hint="eastAsia"/>
          <w:sz w:val="28"/>
          <w:szCs w:val="28"/>
        </w:rPr>
        <w:t>707</w:t>
      </w:r>
      <w:r>
        <w:rPr>
          <w:rFonts w:ascii="宋体" w:hAnsi="宋体" w:hint="eastAsia"/>
          <w:sz w:val="28"/>
          <w:szCs w:val="28"/>
        </w:rPr>
        <w:t>室。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联系人：裴文。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联系电话：</w:t>
      </w:r>
      <w:r>
        <w:rPr>
          <w:rFonts w:cs="Calibri" w:hint="eastAsia"/>
          <w:sz w:val="28"/>
          <w:szCs w:val="28"/>
        </w:rPr>
        <w:t>15738826029</w:t>
      </w:r>
    </w:p>
    <w:p w:rsidR="00AA51A1" w:rsidRDefault="00AA51A1" w:rsidP="00AA51A1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报名时携带公司营业执照副本复印件及报名人身份证原件。</w:t>
      </w:r>
    </w:p>
    <w:p w:rsidR="00AA51A1" w:rsidRDefault="00AA51A1" w:rsidP="00AA51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AA51A1" w:rsidRDefault="00AA51A1" w:rsidP="00AA51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AA51A1" w:rsidRDefault="00AA51A1" w:rsidP="00AA51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</w:p>
    <w:p w:rsidR="00AA51A1" w:rsidRDefault="00AA51A1" w:rsidP="00AA51A1">
      <w:pPr>
        <w:pStyle w:val="3"/>
        <w:spacing w:line="288" w:lineRule="auto"/>
        <w:rPr>
          <w:rFonts w:ascii="方正小标宋简体" w:eastAsia="方正小标宋简体" w:hint="eastAsia"/>
          <w:b w:val="0"/>
          <w:bCs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bCs w:val="0"/>
          <w:sz w:val="44"/>
          <w:szCs w:val="44"/>
        </w:rPr>
        <w:t>附件：</w:t>
      </w:r>
    </w:p>
    <w:p w:rsidR="00AA51A1" w:rsidRDefault="00AA51A1" w:rsidP="00AA51A1">
      <w:pPr>
        <w:pStyle w:val="3"/>
        <w:spacing w:line="288" w:lineRule="auto"/>
        <w:jc w:val="center"/>
        <w:rPr>
          <w:rFonts w:ascii="方正小标宋简体" w:eastAsia="方正小标宋简体" w:hint="eastAsia"/>
          <w:b w:val="0"/>
          <w:bCs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bCs w:val="0"/>
          <w:sz w:val="44"/>
          <w:szCs w:val="44"/>
        </w:rPr>
        <w:t>中心机房UPS系统维护及扩容技术方案</w:t>
      </w:r>
    </w:p>
    <w:p w:rsidR="00AA51A1" w:rsidRDefault="00AA51A1" w:rsidP="00AA51A1">
      <w:pPr>
        <w:pStyle w:val="3"/>
        <w:spacing w:line="288" w:lineRule="auto"/>
        <w:jc w:val="left"/>
        <w:rPr>
          <w:rFonts w:ascii="黑体" w:eastAsia="黑体" w:hAnsi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t>一、系统总体要求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1.设计标准</w:t>
      </w:r>
      <w:r>
        <w:rPr>
          <w:rFonts w:ascii="宋体" w:hAnsi="宋体" w:hint="eastAsia"/>
          <w:color w:val="000000"/>
          <w:spacing w:val="0"/>
        </w:rPr>
        <w:br/>
        <w:t>符合GB/T 7260-2023《不间断电源设备》及YD/T 1095-2023《通信用不间断电源系统》技术要求。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2.可靠性</w:t>
      </w:r>
      <w:r>
        <w:rPr>
          <w:rFonts w:ascii="宋体" w:hAnsi="宋体" w:hint="eastAsia"/>
          <w:color w:val="000000"/>
          <w:spacing w:val="0"/>
        </w:rPr>
        <w:br/>
        <w:t>系统MTBF（平均无故障时间）≥10万小时。</w:t>
      </w:r>
    </w:p>
    <w:p w:rsidR="00AA51A1" w:rsidRDefault="00AA51A1" w:rsidP="00AA51A1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A51A1" w:rsidRDefault="00AA51A1" w:rsidP="00AA51A1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二、采购需求</w:t>
      </w:r>
    </w:p>
    <w:p w:rsidR="00AA51A1" w:rsidRDefault="00AA51A1" w:rsidP="00AA51A1">
      <w:pPr>
        <w:pStyle w:val="4"/>
        <w:spacing w:line="288" w:lineRule="auto"/>
        <w:jc w:val="left"/>
        <w:rPr>
          <w:rFonts w:ascii="黑体" w:eastAsia="黑体" w:hAnsi="黑体" w:hint="eastAsia"/>
          <w:b w:val="0"/>
          <w:bCs w:val="0"/>
          <w:i w:val="0"/>
          <w:iCs w:val="0"/>
        </w:rPr>
      </w:pPr>
      <w:r>
        <w:rPr>
          <w:rFonts w:ascii="黑体" w:eastAsia="黑体" w:hAnsi="黑体" w:hint="eastAsia"/>
          <w:b w:val="0"/>
          <w:bCs w:val="0"/>
          <w:i w:val="0"/>
          <w:iCs w:val="0"/>
          <w:sz w:val="28"/>
          <w:szCs w:val="28"/>
        </w:rPr>
        <w:t>（一）UPS主机</w:t>
      </w: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2045"/>
        <w:gridCol w:w="6981"/>
      </w:tblGrid>
      <w:tr w:rsidR="00AA51A1" w:rsidTr="00AA51A1"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AA51A1" w:rsidRDefault="00AA51A1">
            <w:pPr>
              <w:spacing w:line="288" w:lineRule="auto"/>
              <w:jc w:val="center"/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hideMark/>
          </w:tcPr>
          <w:p w:rsidR="00AA51A1" w:rsidRDefault="00AA51A1">
            <w:pPr>
              <w:spacing w:line="288" w:lineRule="auto"/>
              <w:jc w:val="center"/>
              <w:rPr>
                <w:rFonts w:eastAsia="微软雅黑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基础参数</w:t>
            </w:r>
          </w:p>
        </w:tc>
      </w:tr>
      <w:tr w:rsidR="00AA51A1" w:rsidTr="00AA51A1">
        <w:trPr>
          <w:trHeight w:val="53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额定容量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30KVA</w:t>
            </w:r>
          </w:p>
        </w:tc>
      </w:tr>
      <w:tr w:rsidR="00AA51A1" w:rsidTr="00AA51A1">
        <w:trPr>
          <w:trHeight w:val="47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输入额定电压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支持380V、三进三出</w:t>
            </w:r>
          </w:p>
        </w:tc>
      </w:tr>
      <w:tr w:rsidR="00AA51A1" w:rsidTr="00AA51A1">
        <w:trPr>
          <w:trHeight w:val="44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系统效率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≥95%</w:t>
            </w:r>
          </w:p>
        </w:tc>
      </w:tr>
      <w:tr w:rsidR="00AA51A1" w:rsidTr="00AA51A1">
        <w:trPr>
          <w:trHeight w:val="47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1台</w:t>
            </w:r>
          </w:p>
        </w:tc>
      </w:tr>
      <w:tr w:rsidR="00AA51A1" w:rsidTr="00AA51A1">
        <w:trPr>
          <w:trHeight w:val="47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为保证设备长期运转的稳定性和可靠性，UPS主机品牌应选用一线品牌，如：华为、易事特、山特、科华、科士达。</w:t>
            </w:r>
          </w:p>
        </w:tc>
      </w:tr>
    </w:tbl>
    <w:p w:rsidR="00AA51A1" w:rsidRDefault="00AA51A1" w:rsidP="00AA51A1">
      <w:pPr>
        <w:pStyle w:val="4"/>
        <w:spacing w:line="288" w:lineRule="auto"/>
        <w:jc w:val="left"/>
        <w:rPr>
          <w:rFonts w:ascii="黑体" w:eastAsia="黑体" w:hAnsi="黑体" w:hint="eastAsia"/>
          <w:b w:val="0"/>
          <w:bCs w:val="0"/>
          <w:i w:val="0"/>
          <w:iCs w:val="0"/>
        </w:rPr>
      </w:pPr>
      <w:r>
        <w:rPr>
          <w:rFonts w:ascii="黑体" w:eastAsia="黑体" w:hAnsi="黑体" w:hint="eastAsia"/>
          <w:b w:val="0"/>
          <w:bCs w:val="0"/>
          <w:i w:val="0"/>
          <w:iCs w:val="0"/>
          <w:sz w:val="28"/>
          <w:szCs w:val="28"/>
        </w:rPr>
        <w:t>（二）铅酸免维护蓄电池</w:t>
      </w: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2045"/>
        <w:gridCol w:w="6981"/>
      </w:tblGrid>
      <w:tr w:rsidR="00AA51A1" w:rsidTr="00AA51A1"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AA51A1" w:rsidRDefault="00AA51A1">
            <w:pPr>
              <w:spacing w:line="288" w:lineRule="auto"/>
              <w:jc w:val="center"/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hideMark/>
          </w:tcPr>
          <w:p w:rsidR="00AA51A1" w:rsidRDefault="00AA51A1">
            <w:pPr>
              <w:spacing w:line="288" w:lineRule="auto"/>
              <w:jc w:val="center"/>
              <w:rPr>
                <w:rFonts w:eastAsia="等线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基础参数</w:t>
            </w:r>
          </w:p>
        </w:tc>
      </w:tr>
      <w:tr w:rsidR="00AA51A1" w:rsidTr="00AA51A1">
        <w:trPr>
          <w:trHeight w:val="431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类型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12V 100AH 国标铅酸免维护蓄电池</w:t>
            </w:r>
          </w:p>
        </w:tc>
      </w:tr>
      <w:tr w:rsidR="00AA51A1" w:rsidTr="00AA51A1">
        <w:trPr>
          <w:trHeight w:val="431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128块</w:t>
            </w:r>
          </w:p>
        </w:tc>
      </w:tr>
      <w:tr w:rsidR="00AA51A1" w:rsidTr="00AA51A1">
        <w:trPr>
          <w:trHeight w:val="41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环境适应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蓄电池在环境温度20～25℃时的浮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充设计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寿命应不低于10年</w:t>
            </w:r>
          </w:p>
        </w:tc>
      </w:tr>
      <w:tr w:rsidR="00AA51A1" w:rsidTr="00AA51A1">
        <w:trPr>
          <w:trHeight w:val="416"/>
        </w:trPr>
        <w:tc>
          <w:tcPr>
            <w:tcW w:w="2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为保证设备长期运转的稳定性和可靠性，电池品牌应选用一线品牌，如：山特、理士、圣阳、双登、天能。</w:t>
            </w:r>
          </w:p>
        </w:tc>
      </w:tr>
    </w:tbl>
    <w:p w:rsidR="00AA51A1" w:rsidRDefault="00AA51A1" w:rsidP="00AA51A1">
      <w:pPr>
        <w:pStyle w:val="4"/>
        <w:numPr>
          <w:ilvl w:val="0"/>
          <w:numId w:val="2"/>
        </w:numPr>
        <w:spacing w:line="288" w:lineRule="auto"/>
        <w:jc w:val="left"/>
        <w:rPr>
          <w:rFonts w:ascii="黑体" w:eastAsia="黑体" w:hAnsi="黑体" w:hint="eastAsia"/>
          <w:b w:val="0"/>
          <w:bCs w:val="0"/>
          <w:i w:val="0"/>
          <w:i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i w:val="0"/>
          <w:iCs w:val="0"/>
          <w:sz w:val="28"/>
          <w:szCs w:val="28"/>
        </w:rPr>
        <w:t>配套设备</w:t>
      </w:r>
    </w:p>
    <w:tbl>
      <w:tblPr>
        <w:tblW w:w="89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52"/>
        <w:gridCol w:w="6999"/>
      </w:tblGrid>
      <w:tr w:rsidR="00AA51A1" w:rsidTr="00AA51A1">
        <w:trPr>
          <w:trHeight w:val="60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spacing w:line="288" w:lineRule="auto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辅材</w:t>
            </w:r>
          </w:p>
        </w:tc>
        <w:tc>
          <w:tcPr>
            <w:tcW w:w="6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spacing w:line="288" w:lineRule="auto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要求</w:t>
            </w:r>
          </w:p>
        </w:tc>
      </w:tr>
      <w:tr w:rsidR="00AA51A1" w:rsidTr="00AA51A1">
        <w:trPr>
          <w:trHeight w:val="58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电池柜</w:t>
            </w:r>
          </w:p>
        </w:tc>
        <w:tc>
          <w:tcPr>
            <w:tcW w:w="6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国标、2套</w:t>
            </w:r>
          </w:p>
        </w:tc>
      </w:tr>
      <w:tr w:rsidR="00AA51A1" w:rsidTr="00AA51A1">
        <w:trPr>
          <w:trHeight w:val="3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电池连接线及空开</w:t>
            </w:r>
          </w:p>
        </w:tc>
        <w:tc>
          <w:tcPr>
            <w:tcW w:w="6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国标、2套</w:t>
            </w:r>
          </w:p>
        </w:tc>
      </w:tr>
      <w:tr w:rsidR="00AA51A1" w:rsidTr="00AA51A1">
        <w:trPr>
          <w:trHeight w:val="48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输入输出电缆</w:t>
            </w:r>
          </w:p>
        </w:tc>
        <w:tc>
          <w:tcPr>
            <w:tcW w:w="6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根据现场实际需求</w:t>
            </w:r>
          </w:p>
        </w:tc>
      </w:tr>
      <w:tr w:rsidR="00AA51A1" w:rsidTr="00AA51A1">
        <w:trPr>
          <w:trHeight w:val="78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配电箱内部线路改线</w:t>
            </w:r>
          </w:p>
        </w:tc>
        <w:tc>
          <w:tcPr>
            <w:tcW w:w="6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A51A1" w:rsidRDefault="00AA5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根据现场实际需求</w:t>
            </w:r>
          </w:p>
        </w:tc>
      </w:tr>
    </w:tbl>
    <w:p w:rsidR="00AA51A1" w:rsidRDefault="00AA51A1" w:rsidP="00AA51A1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A51A1" w:rsidRDefault="00AA51A1" w:rsidP="00AA51A1">
      <w:pPr>
        <w:pStyle w:val="3"/>
        <w:spacing w:line="288" w:lineRule="auto"/>
        <w:jc w:val="left"/>
        <w:rPr>
          <w:rFonts w:ascii="黑体" w:eastAsia="黑体" w:hAnsi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t>三、设备技术参数</w:t>
      </w:r>
    </w:p>
    <w:p w:rsidR="00AA51A1" w:rsidRDefault="00AA51A1" w:rsidP="00AA51A1">
      <w:pPr>
        <w:pStyle w:val="4"/>
        <w:spacing w:line="288" w:lineRule="auto"/>
        <w:jc w:val="left"/>
        <w:rPr>
          <w:rFonts w:ascii="楷体_GB2312" w:eastAsia="楷体_GB2312" w:hint="eastAsia"/>
          <w:b w:val="0"/>
          <w:bCs w:val="0"/>
          <w:i w:val="0"/>
          <w:iCs w:val="0"/>
          <w:sz w:val="28"/>
          <w:szCs w:val="28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sz w:val="28"/>
          <w:szCs w:val="28"/>
        </w:rPr>
        <w:t>（一）UPS主机技术性能要求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1.UPS容量30kVA，数量1套，塔式安装。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2.UPS采用</w:t>
      </w:r>
      <w:proofErr w:type="gramStart"/>
      <w:r>
        <w:rPr>
          <w:rFonts w:ascii="宋体" w:hAnsi="宋体" w:hint="eastAsia"/>
          <w:color w:val="000000"/>
          <w:spacing w:val="0"/>
        </w:rPr>
        <w:t>高频</w:t>
      </w:r>
      <w:r>
        <w:rPr>
          <w:rFonts w:ascii="宋体" w:hAnsi="宋体" w:hint="eastAsia"/>
          <w:b/>
          <w:bCs/>
          <w:color w:val="000000"/>
          <w:spacing w:val="0"/>
        </w:rPr>
        <w:t>在</w:t>
      </w:r>
      <w:proofErr w:type="gramEnd"/>
      <w:r>
        <w:rPr>
          <w:rFonts w:ascii="宋体" w:hAnsi="宋体" w:hint="eastAsia"/>
          <w:b/>
          <w:bCs/>
          <w:color w:val="000000"/>
          <w:spacing w:val="0"/>
        </w:rPr>
        <w:t>线式</w:t>
      </w:r>
      <w:r>
        <w:rPr>
          <w:rFonts w:ascii="宋体" w:hAnsi="宋体" w:hint="eastAsia"/>
          <w:color w:val="000000"/>
          <w:spacing w:val="0"/>
        </w:rPr>
        <w:t>设计架构，配电方式支持三进三出、单进单出、三进单出。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3.UPS</w:t>
      </w:r>
      <w:proofErr w:type="gramStart"/>
      <w:r>
        <w:rPr>
          <w:rFonts w:ascii="宋体" w:hAnsi="宋体" w:hint="eastAsia"/>
          <w:color w:val="000000"/>
          <w:spacing w:val="0"/>
        </w:rPr>
        <w:t>标配输入</w:t>
      </w:r>
      <w:proofErr w:type="gramEnd"/>
      <w:r>
        <w:rPr>
          <w:rFonts w:ascii="宋体" w:hAnsi="宋体" w:hint="eastAsia"/>
          <w:color w:val="000000"/>
          <w:spacing w:val="0"/>
        </w:rPr>
        <w:t>、旁路、输出、维修旁路开关，所有开关必须内置UPS机柜里面。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4.UPS适配负载能力强，输出功率因数为1，可适配PF0.5以上</w:t>
      </w:r>
      <w:proofErr w:type="gramStart"/>
      <w:r>
        <w:rPr>
          <w:rFonts w:ascii="宋体" w:hAnsi="宋体" w:hint="eastAsia"/>
          <w:color w:val="000000"/>
          <w:spacing w:val="0"/>
        </w:rPr>
        <w:t>阻</w:t>
      </w:r>
      <w:proofErr w:type="gramEnd"/>
      <w:r>
        <w:rPr>
          <w:rFonts w:ascii="宋体" w:hAnsi="宋体" w:hint="eastAsia"/>
          <w:color w:val="000000"/>
          <w:spacing w:val="0"/>
        </w:rPr>
        <w:t>感性和</w:t>
      </w:r>
      <w:proofErr w:type="gramStart"/>
      <w:r>
        <w:rPr>
          <w:rFonts w:ascii="宋体" w:hAnsi="宋体" w:hint="eastAsia"/>
          <w:color w:val="000000"/>
          <w:spacing w:val="0"/>
        </w:rPr>
        <w:t>阻容</w:t>
      </w:r>
      <w:proofErr w:type="gramEnd"/>
      <w:r>
        <w:rPr>
          <w:rFonts w:ascii="宋体" w:hAnsi="宋体" w:hint="eastAsia"/>
          <w:color w:val="000000"/>
          <w:spacing w:val="0"/>
        </w:rPr>
        <w:t>性负载。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5.UPS应具有满足在测试现场不需要外接负载就可以带载测试功能。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6.蓄电池系统支持±16~20节电池双数可调，兼容铅酸电池和铁锂电池，并机系统可以共用电池组。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7.UPS主机具备电池温度补偿功能，控制系统依据预设的温度补偿算法，自动对电池的充电电压和电流等参数进行精准调整。当温度升高时，适当降低充电电压，减缓充电电流，避免电池过充；当温度降低时，则相应提高充电电压，增强充电</w:t>
      </w:r>
      <w:r>
        <w:rPr>
          <w:rFonts w:ascii="宋体" w:hAnsi="宋体" w:hint="eastAsia"/>
          <w:color w:val="000000"/>
          <w:spacing w:val="0"/>
        </w:rPr>
        <w:lastRenderedPageBreak/>
        <w:t>电流，确保电池能够充分充电。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8.UPS主机应支持查询 UPS 的所有参数、UPS 和电池状态、以及告警信息。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9.UPS显示面板应支持显示整流散热器温度、逆变散热器温度，环境温度，以便更好了解UPS应用状态。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10.UPS显示面板应支持电池低压保护点（EOD)功能，可根据现场情况灵活设定，保护电池及利用率最大化。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11.UPS应具备来电自动开机功能，市电停电时间过长，电池放电至终止电压导致逆变器关机后，如市电恢复，UPS可实现自动开机。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12.UPS应具备冷启动和市电启动功能，要求在市电异常状态下可直接用电池启动UPS,在无电池状态可直接用市电启动UPS,作为高精度稳压电源使用。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13.为加强对电池的管理和延长电池使用寿命，UPS应具有电池自检功能。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14.UPS应具备IGBT过</w:t>
      </w:r>
      <w:proofErr w:type="gramStart"/>
      <w:r>
        <w:rPr>
          <w:rFonts w:ascii="宋体" w:hAnsi="宋体" w:hint="eastAsia"/>
          <w:color w:val="000000"/>
          <w:spacing w:val="0"/>
        </w:rPr>
        <w:t>温保护</w:t>
      </w:r>
      <w:proofErr w:type="gramEnd"/>
      <w:r>
        <w:rPr>
          <w:rFonts w:ascii="宋体" w:hAnsi="宋体" w:hint="eastAsia"/>
          <w:color w:val="000000"/>
          <w:spacing w:val="0"/>
        </w:rPr>
        <w:t>功能，设备内IGBT器件温度过高时，应发出声光告警，并转为旁路供电。</w:t>
      </w:r>
    </w:p>
    <w:p w:rsidR="00AA51A1" w:rsidRDefault="00AA51A1" w:rsidP="00AA51A1">
      <w:pPr>
        <w:pStyle w:val="4"/>
        <w:spacing w:line="288" w:lineRule="auto"/>
        <w:jc w:val="left"/>
        <w:rPr>
          <w:rFonts w:ascii="楷体_GB2312" w:eastAsia="楷体_GB2312" w:hint="eastAsia"/>
          <w:b w:val="0"/>
          <w:bCs w:val="0"/>
          <w:i w:val="0"/>
          <w:iCs w:val="0"/>
          <w:sz w:val="28"/>
          <w:szCs w:val="28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sz w:val="28"/>
          <w:szCs w:val="28"/>
        </w:rPr>
        <w:t>（二）UPS参数要求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1.输入电压范围：228-478Vac；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2.输出额定电压可设置：380V/415V/415V；</w:t>
      </w:r>
    </w:p>
    <w:p w:rsidR="00AA51A1" w:rsidRDefault="00AA51A1" w:rsidP="00AA51A1">
      <w:pPr>
        <w:pStyle w:val="4"/>
        <w:spacing w:line="288" w:lineRule="auto"/>
        <w:jc w:val="left"/>
        <w:rPr>
          <w:rFonts w:ascii="楷体_GB2312" w:eastAsia="楷体_GB2312" w:hint="eastAsia"/>
          <w:b w:val="0"/>
          <w:bCs w:val="0"/>
          <w:i w:val="0"/>
          <w:iCs w:val="0"/>
          <w:sz w:val="28"/>
          <w:szCs w:val="28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sz w:val="28"/>
          <w:szCs w:val="28"/>
        </w:rPr>
        <w:t>（三）蓄电池技术参数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1、 蓄电池容量：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电池容量≥ 100Ah；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2、 蓄电池重量：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蓄电池重量≥27.8KG；</w:t>
      </w:r>
    </w:p>
    <w:p w:rsidR="00AA51A1" w:rsidRDefault="00AA51A1" w:rsidP="00AA51A1">
      <w:pPr>
        <w:pStyle w:val="a3"/>
        <w:numPr>
          <w:ilvl w:val="0"/>
          <w:numId w:val="3"/>
        </w:numPr>
        <w:spacing w:line="360" w:lineRule="auto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>蓄电池在环境温度20～25℃时的浮</w:t>
      </w:r>
      <w:proofErr w:type="gramStart"/>
      <w:r>
        <w:rPr>
          <w:rFonts w:ascii="宋体" w:hAnsi="宋体" w:hint="eastAsia"/>
          <w:color w:val="000000"/>
          <w:spacing w:val="0"/>
        </w:rPr>
        <w:t>充设计</w:t>
      </w:r>
      <w:proofErr w:type="gramEnd"/>
      <w:r>
        <w:rPr>
          <w:rFonts w:ascii="宋体" w:hAnsi="宋体" w:hint="eastAsia"/>
          <w:color w:val="000000"/>
          <w:spacing w:val="0"/>
        </w:rPr>
        <w:t>寿命应不低于10年。</w:t>
      </w:r>
    </w:p>
    <w:p w:rsidR="00AA51A1" w:rsidRDefault="00AA51A1" w:rsidP="00AA51A1">
      <w:pPr>
        <w:pStyle w:val="3"/>
        <w:numPr>
          <w:ilvl w:val="0"/>
          <w:numId w:val="4"/>
        </w:numPr>
        <w:spacing w:line="288" w:lineRule="auto"/>
        <w:jc w:val="left"/>
        <w:rPr>
          <w:rFonts w:ascii="黑体" w:eastAsia="黑体" w:hAnsi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t>商务需求</w:t>
      </w:r>
    </w:p>
    <w:p w:rsidR="00AA51A1" w:rsidRDefault="00AA51A1" w:rsidP="00AA51A1">
      <w:pPr>
        <w:rPr>
          <w:rFonts w:hint="eastAsia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1.所投电池品牌应保证能与现有UPS主机协议互通，无缝衔接，完全兼容。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 xml:space="preserve">2.质保期：UPS主机≥3年，蓄电池≥3年。 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 xml:space="preserve">3.响应时效：故障报修后2小时内远程支持，24小时内现场服务（含备件更换）。 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lastRenderedPageBreak/>
        <w:t xml:space="preserve">4.智能化管理：支持电池健康度实时监测及预警。 </w:t>
      </w:r>
    </w:p>
    <w:p w:rsidR="00AA51A1" w:rsidRDefault="00AA51A1" w:rsidP="00AA51A1">
      <w:pPr>
        <w:pStyle w:val="a3"/>
        <w:spacing w:line="360" w:lineRule="auto"/>
        <w:ind w:firstLine="0"/>
        <w:rPr>
          <w:rFonts w:ascii="宋体" w:hAnsi="宋体" w:hint="eastAsia"/>
          <w:color w:val="000000"/>
          <w:spacing w:val="0"/>
        </w:rPr>
      </w:pPr>
      <w:r>
        <w:rPr>
          <w:rFonts w:ascii="宋体" w:hAnsi="宋体" w:hint="eastAsia"/>
          <w:color w:val="000000"/>
          <w:spacing w:val="0"/>
        </w:rPr>
        <w:t xml:space="preserve"> </w:t>
      </w:r>
    </w:p>
    <w:p w:rsidR="00AA51A1" w:rsidRDefault="00AA51A1" w:rsidP="00AA51A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p w:rsidR="008540B8" w:rsidRPr="00AA51A1" w:rsidRDefault="00AA51A1" w:rsidP="00AA51A1"/>
    <w:sectPr w:rsidR="008540B8" w:rsidRPr="00AA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C23"/>
    <w:multiLevelType w:val="multilevel"/>
    <w:tmpl w:val="458675CE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24442"/>
    <w:multiLevelType w:val="multilevel"/>
    <w:tmpl w:val="A580C26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D1493"/>
    <w:multiLevelType w:val="multilevel"/>
    <w:tmpl w:val="146847C2"/>
    <w:lvl w:ilvl="0">
      <w:start w:val="3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C3907"/>
    <w:multiLevelType w:val="multilevel"/>
    <w:tmpl w:val="13700B6A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A1"/>
    <w:rsid w:val="003E2722"/>
    <w:rsid w:val="00AA51A1"/>
    <w:rsid w:val="00F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A1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AA51A1"/>
    <w:pPr>
      <w:keepNext/>
      <w:keepLines/>
      <w:spacing w:before="200" w:after="100" w:afterAutospacing="1"/>
      <w:outlineLvl w:val="2"/>
    </w:pPr>
    <w:rPr>
      <w:rFonts w:ascii="Calibri Light" w:hAnsi="Calibri Light"/>
      <w:b/>
      <w:bCs/>
      <w:color w:val="000000"/>
    </w:rPr>
  </w:style>
  <w:style w:type="paragraph" w:styleId="4">
    <w:name w:val="heading 4"/>
    <w:basedOn w:val="a"/>
    <w:next w:val="a"/>
    <w:link w:val="4Char"/>
    <w:uiPriority w:val="99"/>
    <w:qFormat/>
    <w:rsid w:val="00AA51A1"/>
    <w:pPr>
      <w:keepNext/>
      <w:keepLines/>
      <w:spacing w:before="200" w:after="100" w:afterAutospacing="1"/>
      <w:outlineLvl w:val="3"/>
    </w:pPr>
    <w:rPr>
      <w:rFonts w:ascii="Calibri Light" w:hAnsi="Calibri Light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AA51A1"/>
    <w:rPr>
      <w:rFonts w:ascii="Calibri Light" w:eastAsia="宋体" w:hAnsi="Calibri Light" w:cs="Times New Roman"/>
      <w:b/>
      <w:bCs/>
      <w:color w:val="000000"/>
      <w:szCs w:val="21"/>
    </w:rPr>
  </w:style>
  <w:style w:type="character" w:customStyle="1" w:styleId="4Char">
    <w:name w:val="标题 4 Char"/>
    <w:basedOn w:val="a0"/>
    <w:link w:val="4"/>
    <w:uiPriority w:val="99"/>
    <w:rsid w:val="00AA51A1"/>
    <w:rPr>
      <w:rFonts w:ascii="Calibri Light" w:eastAsia="宋体" w:hAnsi="Calibri Light" w:cs="Times New Roman"/>
      <w:b/>
      <w:bCs/>
      <w:i/>
      <w:iCs/>
      <w:color w:val="000000"/>
      <w:szCs w:val="21"/>
    </w:rPr>
  </w:style>
  <w:style w:type="paragraph" w:customStyle="1" w:styleId="a3">
    <w:name w:val="文档正文"/>
    <w:basedOn w:val="a"/>
    <w:rsid w:val="00AA51A1"/>
    <w:pPr>
      <w:adjustRightInd w:val="0"/>
      <w:spacing w:line="440" w:lineRule="atLeast"/>
      <w:ind w:firstLine="567"/>
      <w:textAlignment w:val="baseline"/>
    </w:pPr>
    <w:rPr>
      <w:spacing w:val="4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A1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AA51A1"/>
    <w:pPr>
      <w:keepNext/>
      <w:keepLines/>
      <w:spacing w:before="200" w:after="100" w:afterAutospacing="1"/>
      <w:outlineLvl w:val="2"/>
    </w:pPr>
    <w:rPr>
      <w:rFonts w:ascii="Calibri Light" w:hAnsi="Calibri Light"/>
      <w:b/>
      <w:bCs/>
      <w:color w:val="000000"/>
    </w:rPr>
  </w:style>
  <w:style w:type="paragraph" w:styleId="4">
    <w:name w:val="heading 4"/>
    <w:basedOn w:val="a"/>
    <w:next w:val="a"/>
    <w:link w:val="4Char"/>
    <w:uiPriority w:val="99"/>
    <w:qFormat/>
    <w:rsid w:val="00AA51A1"/>
    <w:pPr>
      <w:keepNext/>
      <w:keepLines/>
      <w:spacing w:before="200" w:after="100" w:afterAutospacing="1"/>
      <w:outlineLvl w:val="3"/>
    </w:pPr>
    <w:rPr>
      <w:rFonts w:ascii="Calibri Light" w:hAnsi="Calibri Light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AA51A1"/>
    <w:rPr>
      <w:rFonts w:ascii="Calibri Light" w:eastAsia="宋体" w:hAnsi="Calibri Light" w:cs="Times New Roman"/>
      <w:b/>
      <w:bCs/>
      <w:color w:val="000000"/>
      <w:szCs w:val="21"/>
    </w:rPr>
  </w:style>
  <w:style w:type="character" w:customStyle="1" w:styleId="4Char">
    <w:name w:val="标题 4 Char"/>
    <w:basedOn w:val="a0"/>
    <w:link w:val="4"/>
    <w:uiPriority w:val="99"/>
    <w:rsid w:val="00AA51A1"/>
    <w:rPr>
      <w:rFonts w:ascii="Calibri Light" w:eastAsia="宋体" w:hAnsi="Calibri Light" w:cs="Times New Roman"/>
      <w:b/>
      <w:bCs/>
      <w:i/>
      <w:iCs/>
      <w:color w:val="000000"/>
      <w:szCs w:val="21"/>
    </w:rPr>
  </w:style>
  <w:style w:type="paragraph" w:customStyle="1" w:styleId="a3">
    <w:name w:val="文档正文"/>
    <w:basedOn w:val="a"/>
    <w:rsid w:val="00AA51A1"/>
    <w:pPr>
      <w:adjustRightInd w:val="0"/>
      <w:spacing w:line="440" w:lineRule="atLeast"/>
      <w:ind w:firstLine="567"/>
      <w:textAlignment w:val="baseline"/>
    </w:pPr>
    <w:rPr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cjxxhsl</dc:creator>
  <cp:lastModifiedBy>cjxxhsl</cp:lastModifiedBy>
  <cp:revision>1</cp:revision>
  <dcterms:created xsi:type="dcterms:W3CDTF">2025-10-21T08:39:00Z</dcterms:created>
  <dcterms:modified xsi:type="dcterms:W3CDTF">2025-10-21T08:44:00Z</dcterms:modified>
</cp:coreProperties>
</file>