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宋体" w:hAnsi="宋体"/>
          <w:sz w:val="72"/>
          <w:szCs w:val="72"/>
        </w:rPr>
      </w:pPr>
    </w:p>
    <w:p>
      <w:pPr>
        <w:snapToGrid/>
        <w:spacing w:line="360" w:lineRule="auto"/>
        <w:ind w:firstLine="0"/>
        <w:jc w:val="center"/>
        <w:rPr>
          <w:rFonts w:hint="eastAsia" w:ascii="方正小标宋简体" w:hAnsi="宋体" w:eastAsia="方正小标宋简体"/>
          <w:sz w:val="48"/>
          <w:szCs w:val="48"/>
        </w:rPr>
      </w:pP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sz w:val="48"/>
          <w:szCs w:val="48"/>
        </w:rPr>
      </w:pPr>
      <w:r>
        <w:rPr>
          <w:rFonts w:hint="eastAsia" w:ascii="华文中宋" w:hAnsi="华文中宋" w:eastAsia="华文中宋"/>
          <w:color w:val="auto"/>
          <w:sz w:val="48"/>
          <w:szCs w:val="48"/>
          <w:lang w:val="en-US" w:eastAsia="zh-CN"/>
        </w:rPr>
        <w:t>音乐表演专业</w:t>
      </w:r>
      <w:r>
        <w:rPr>
          <w:rFonts w:hint="eastAsia" w:ascii="华文中宋" w:hAnsi="华文中宋" w:eastAsia="华文中宋"/>
          <w:color w:val="auto"/>
          <w:sz w:val="48"/>
          <w:szCs w:val="48"/>
        </w:rPr>
        <w:t>人才</w:t>
      </w:r>
      <w:r>
        <w:rPr>
          <w:rFonts w:hint="eastAsia" w:ascii="华文中宋" w:hAnsi="华文中宋" w:eastAsia="华文中宋"/>
          <w:sz w:val="48"/>
          <w:szCs w:val="48"/>
        </w:rPr>
        <w:t>培养方案</w:t>
      </w: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2021</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jc w:val="both"/>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snapToGrid/>
        <w:spacing w:line="240" w:lineRule="auto"/>
        <w:jc w:val="center"/>
        <w:rPr>
          <w:rFonts w:hint="eastAsia" w:ascii="黑体" w:hAnsi="黑体" w:eastAsia="黑体" w:cs="黑体"/>
          <w:sz w:val="32"/>
          <w:szCs w:val="32"/>
        </w:rPr>
        <w:sectPr>
          <w:pgSz w:w="11906" w:h="16838"/>
          <w:pgMar w:top="1440" w:right="1080" w:bottom="1440" w:left="1080" w:header="851" w:footer="992" w:gutter="0"/>
          <w:pgNumType w:fmt="decimal" w:start="1"/>
          <w:cols w:space="425" w:num="1"/>
          <w:docGrid w:type="lines" w:linePitch="312" w:charSpace="0"/>
        </w:sectPr>
      </w:pPr>
    </w:p>
    <w:p>
      <w:pPr>
        <w:snapToGrid/>
        <w:spacing w:line="240" w:lineRule="auto"/>
        <w:jc w:val="center"/>
        <w:rPr>
          <w:rFonts w:hint="eastAsia" w:ascii="黑体" w:hAnsi="黑体" w:eastAsia="黑体" w:cs="黑体"/>
          <w:sz w:val="32"/>
          <w:szCs w:val="32"/>
        </w:rPr>
      </w:pPr>
      <w:r>
        <w:rPr>
          <w:rFonts w:hint="eastAsia" w:ascii="黑体" w:hAnsi="黑体" w:eastAsia="黑体" w:cs="黑体"/>
          <w:sz w:val="32"/>
          <w:szCs w:val="32"/>
        </w:rPr>
        <w:t>目    录</w:t>
      </w:r>
    </w:p>
    <w:p>
      <w:pPr>
        <w:snapToGrid/>
        <w:spacing w:line="240" w:lineRule="auto"/>
        <w:jc w:val="center"/>
        <w:rPr>
          <w:rFonts w:hint="eastAsia" w:ascii="黑体" w:hAnsi="黑体" w:eastAsia="黑体" w:cs="黑体"/>
          <w:sz w:val="32"/>
          <w:szCs w:val="32"/>
        </w:rPr>
      </w:pPr>
    </w:p>
    <w:p>
      <w:pPr>
        <w:snapToGrid/>
        <w:spacing w:line="240" w:lineRule="auto"/>
        <w:jc w:val="center"/>
        <w:rPr>
          <w:rFonts w:hint="eastAsia" w:ascii="黑体" w:hAnsi="黑体" w:eastAsia="黑体" w:cs="黑体"/>
          <w:sz w:val="32"/>
          <w:szCs w:val="32"/>
        </w:rPr>
      </w:pP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一、专业名称及代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二、招生对象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基本学制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四、职业面向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五、培养目标与职业能力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六、职业岗位和任职要求</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课程设置及要求………………………………………………………………………</w:t>
      </w:r>
      <w:r>
        <w:rPr>
          <w:rFonts w:hint="eastAsia" w:asciiTheme="minorEastAsia" w:hAnsiTheme="minorEastAsia" w:eastAsiaTheme="minorEastAsia" w:cstheme="minorEastAsia"/>
          <w:sz w:val="24"/>
          <w:szCs w:val="24"/>
          <w:lang w:val="en-US" w:eastAsia="zh-CN"/>
        </w:rPr>
        <w:t xml:space="preserve"> </w:t>
      </w:r>
      <w:bookmarkStart w:id="0" w:name="_GoBack"/>
      <w:bookmarkEnd w:id="0"/>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八、教学进程总体安排</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p>
    <w:p>
      <w:pPr>
        <w:pStyle w:val="8"/>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九、实施保障</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s="黑体"/>
          <w:color w:val="000000"/>
          <w:sz w:val="36"/>
          <w:szCs w:val="36"/>
        </w:rPr>
        <w:sectPr>
          <w:footerReference r:id="rId3" w:type="default"/>
          <w:pgSz w:w="11906" w:h="16838"/>
          <w:pgMar w:top="1440" w:right="1080" w:bottom="1440" w:left="1080" w:header="851" w:footer="992" w:gutter="0"/>
          <w:pgNumType w:fmt="decimal" w:start="1"/>
          <w:cols w:space="425" w:num="1"/>
          <w:docGrid w:type="lines" w:linePitch="312" w:charSpace="0"/>
        </w:sectPr>
      </w:pPr>
    </w:p>
    <w:p>
      <w:pPr>
        <w:pStyle w:val="8"/>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sz w:val="44"/>
          <w:szCs w:val="44"/>
          <w:lang w:eastAsia="zh-CN"/>
        </w:rPr>
      </w:pPr>
      <w:r>
        <w:rPr>
          <w:rFonts w:hint="eastAsia" w:ascii="华文中宋" w:hAnsi="华文中宋" w:eastAsia="华文中宋"/>
          <w:sz w:val="44"/>
          <w:szCs w:val="44"/>
          <w:lang w:eastAsia="zh-CN"/>
        </w:rPr>
        <w:t>河南省驻马店财经学校</w:t>
      </w:r>
    </w:p>
    <w:p>
      <w:pPr>
        <w:pStyle w:val="8"/>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sz w:val="44"/>
          <w:szCs w:val="44"/>
        </w:rPr>
      </w:pPr>
      <w:r>
        <w:rPr>
          <w:rFonts w:hint="eastAsia" w:ascii="华文中宋" w:hAnsi="华文中宋" w:eastAsia="华文中宋"/>
          <w:sz w:val="44"/>
          <w:szCs w:val="44"/>
        </w:rPr>
        <w:t>音乐表演</w:t>
      </w:r>
      <w:r>
        <w:rPr>
          <w:rFonts w:hint="eastAsia" w:ascii="华文中宋" w:hAnsi="华文中宋" w:eastAsia="华文中宋"/>
          <w:sz w:val="44"/>
          <w:szCs w:val="44"/>
          <w:lang w:eastAsia="zh-CN"/>
        </w:rPr>
        <w:t>专业</w:t>
      </w:r>
      <w:r>
        <w:rPr>
          <w:rFonts w:hint="eastAsia" w:ascii="华文中宋" w:hAnsi="华文中宋" w:eastAsia="华文中宋"/>
          <w:sz w:val="44"/>
          <w:szCs w:val="44"/>
        </w:rPr>
        <w:t>人才培养方案</w:t>
      </w:r>
    </w:p>
    <w:p>
      <w:pPr>
        <w:jc w:val="center"/>
        <w:rPr>
          <w:rFonts w:hint="eastAsia" w:ascii="黑体" w:hAnsi="黑体" w:eastAsia="黑体" w:cs="黑体"/>
          <w:color w:val="000000"/>
          <w:sz w:val="36"/>
          <w:szCs w:val="36"/>
        </w:rPr>
      </w:pP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一、专业名称及代码</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专业名称：音乐表演  </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专业代码：750201</w:t>
      </w:r>
    </w:p>
    <w:p>
      <w:pPr>
        <w:keepNext w:val="0"/>
        <w:keepLines w:val="0"/>
        <w:pageBreakBefore w:val="0"/>
        <w:widowControl w:val="0"/>
        <w:kinsoku/>
        <w:wordWrap/>
        <w:overflowPunct w:val="0"/>
        <w:autoSpaceDE/>
        <w:autoSpaceDN/>
        <w:bidi w:val="0"/>
        <w:spacing w:line="520" w:lineRule="exact"/>
        <w:ind w:firstLine="600" w:firstLineChars="200"/>
        <w:textAlignment w:val="auto"/>
        <w:rPr>
          <w:rFonts w:hint="eastAsia" w:ascii="仿宋" w:hAnsi="仿宋" w:eastAsia="仿宋" w:cs="仿宋"/>
          <w:b/>
          <w:bCs/>
          <w:color w:val="000000"/>
          <w:sz w:val="24"/>
          <w:szCs w:val="24"/>
        </w:rPr>
      </w:pPr>
      <w:r>
        <w:rPr>
          <w:rFonts w:hint="eastAsia" w:ascii="黑体" w:hAnsi="黑体" w:eastAsia="黑体"/>
          <w:sz w:val="30"/>
          <w:szCs w:val="30"/>
        </w:rPr>
        <w:t>二、入学要求</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初中毕业生或同等学力者。</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hint="eastAsia" w:ascii="黑体" w:hAnsi="黑体" w:eastAsia="黑体" w:cs="Times New Roman"/>
          <w:snapToGrid w:val="0"/>
          <w:sz w:val="30"/>
          <w:szCs w:val="30"/>
          <w:lang w:eastAsia="zh-CN"/>
        </w:rPr>
      </w:pPr>
      <w:r>
        <w:rPr>
          <w:rFonts w:hint="eastAsia" w:ascii="黑体" w:hAnsi="黑体" w:eastAsia="黑体" w:cs="Times New Roman"/>
          <w:snapToGrid w:val="0"/>
          <w:sz w:val="30"/>
          <w:szCs w:val="30"/>
        </w:rPr>
        <w:t>三、</w:t>
      </w:r>
      <w:r>
        <w:rPr>
          <w:rFonts w:hint="eastAsia" w:ascii="黑体" w:hAnsi="黑体" w:eastAsia="黑体" w:cs="Times New Roman"/>
          <w:snapToGrid w:val="0"/>
          <w:sz w:val="30"/>
          <w:szCs w:val="30"/>
          <w:lang w:eastAsia="zh-CN"/>
        </w:rPr>
        <w:t>修业年限</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eastAsia="zh-CN"/>
        </w:rPr>
        <w:t>基本学制：</w:t>
      </w:r>
      <w:r>
        <w:rPr>
          <w:rFonts w:hint="eastAsia" w:ascii="仿宋" w:hAnsi="仿宋" w:eastAsia="仿宋" w:cs="仿宋"/>
          <w:snapToGrid w:val="0"/>
          <w:sz w:val="30"/>
          <w:szCs w:val="30"/>
          <w:lang w:val="en-US" w:eastAsia="zh-CN"/>
        </w:rPr>
        <w:t>3年</w:t>
      </w:r>
    </w:p>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四、</w:t>
      </w:r>
      <w:r>
        <w:rPr>
          <w:rFonts w:hint="eastAsia" w:ascii="黑体" w:hAnsi="黑体" w:eastAsia="黑体" w:cs="Times New Roman"/>
          <w:snapToGrid w:val="0"/>
          <w:sz w:val="30"/>
          <w:szCs w:val="30"/>
        </w:rPr>
        <w:t>职业面向</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采取“中高职贯通培养”模式，以升高职深造为主要目标,并采取灵活就业,多措并举,建立多维度人才培养体系。实行与高校联合,校企合作。通过升学、高校合作等不同形式的升学方式,实现升学最大化，与企业合作实现就业最优化。</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五、培养目标与职业能力</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（一）培养目标</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本专业培养与我国社会主义现代化建设要求相适应，德、智、体、美</w:t>
      </w:r>
      <w:r>
        <w:rPr>
          <w:rFonts w:hint="eastAsia" w:ascii="仿宋" w:hAnsi="仿宋" w:eastAsia="仿宋" w:cs="仿宋"/>
          <w:snapToGrid w:val="0"/>
          <w:sz w:val="30"/>
          <w:szCs w:val="30"/>
          <w:lang w:eastAsia="zh-CN"/>
        </w:rPr>
        <w:t>、劳</w:t>
      </w:r>
      <w:r>
        <w:rPr>
          <w:rFonts w:hint="eastAsia" w:ascii="仿宋" w:hAnsi="仿宋" w:eastAsia="仿宋" w:cs="仿宋"/>
          <w:snapToGrid w:val="0"/>
          <w:sz w:val="30"/>
          <w:szCs w:val="30"/>
        </w:rPr>
        <w:t>全面发展，具备良好的职业道德和职业素养，具有与本专业相适应的文化知识、专业</w:t>
      </w:r>
      <w:r>
        <w:rPr>
          <w:rFonts w:hint="eastAsia" w:ascii="仿宋" w:hAnsi="仿宋" w:eastAsia="仿宋" w:cs="仿宋"/>
          <w:snapToGrid w:val="0"/>
          <w:sz w:val="30"/>
          <w:szCs w:val="30"/>
          <w:lang w:eastAsia="zh-CN"/>
        </w:rPr>
        <w:t>技能</w:t>
      </w:r>
      <w:r>
        <w:rPr>
          <w:rFonts w:hint="eastAsia" w:ascii="仿宋" w:hAnsi="仿宋" w:eastAsia="仿宋" w:cs="仿宋"/>
          <w:snapToGrid w:val="0"/>
          <w:sz w:val="30"/>
          <w:szCs w:val="30"/>
        </w:rPr>
        <w:t>和良好的职业道德，实行“中高职贯通培养”模式，</w:t>
      </w:r>
      <w:r>
        <w:rPr>
          <w:rFonts w:hint="eastAsia" w:ascii="仿宋" w:hAnsi="仿宋" w:eastAsia="仿宋" w:cs="仿宋"/>
          <w:snapToGrid w:val="0"/>
          <w:sz w:val="30"/>
          <w:szCs w:val="30"/>
          <w:lang w:val="en-US" w:eastAsia="zh-CN"/>
        </w:rPr>
        <w:t>具备先进的教育教学理念和中小学音乐教育专业基本理论，熟悉中小学音乐学科教育教学规律，具有较强的音乐表演技能（弹、唱、说、跳、画）和一定的音乐节目编排、创作能力，能在文艺团体、教育系统及社会文化管理部门从事音乐教学、音乐表演、文化管理等方面的高素质技能型人才。</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 xml:space="preserve">（二）职业能力 </w:t>
      </w:r>
    </w:p>
    <w:tbl>
      <w:tblPr>
        <w:tblStyle w:val="5"/>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35"/>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blHeader/>
          <w:jc w:val="center"/>
        </w:trPr>
        <w:tc>
          <w:tcPr>
            <w:tcW w:w="1306"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项目</w:t>
            </w:r>
          </w:p>
        </w:tc>
        <w:tc>
          <w:tcPr>
            <w:tcW w:w="735"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编号</w:t>
            </w:r>
          </w:p>
        </w:tc>
        <w:tc>
          <w:tcPr>
            <w:tcW w:w="7500"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06" w:type="dxa"/>
            <w:vMerge w:val="restart"/>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基本知识要求</w:t>
            </w: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500" w:type="dxa"/>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掌握本专业所需的语文、数学、英语、历史、等文化基础知识。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500" w:type="dxa"/>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声乐演唱、舞蹈表演、钢琴、视唱练耳。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rPr>
              <w:t>计算机应用能力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舞台设计和灯光运用基础</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5</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语言表达沟通能力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restart"/>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职业素质要求</w:t>
            </w: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500" w:type="dxa"/>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具有良好的思想政治素质、职业道德和行为规范，能遵守相关的法律法规。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500" w:type="dxa"/>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能根据职教高考对口升学大纲熟练掌握知识技能；能胜任与本专业相同或相近的专业技能岗位。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具有创新精神，树立终身学习的观念</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4</w:t>
            </w:r>
          </w:p>
        </w:tc>
        <w:tc>
          <w:tcPr>
            <w:tcW w:w="7500" w:type="dxa"/>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具有良好的人际交流、沟通、协调人际关系的能力，团队合作精神。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restart"/>
            <w:noWrap w:val="0"/>
            <w:vAlign w:val="center"/>
          </w:tcPr>
          <w:p>
            <w:pPr>
              <w:pStyle w:val="7"/>
              <w:spacing w:line="240" w:lineRule="auto"/>
              <w:ind w:firstLine="0"/>
              <w:rPr>
                <w:rFonts w:hint="eastAsia" w:ascii="宋体" w:hAnsi="宋体" w:eastAsia="宋体" w:cs="宋体"/>
                <w:snapToGrid w:val="0"/>
                <w:sz w:val="18"/>
                <w:szCs w:val="18"/>
              </w:rPr>
            </w:pPr>
            <w:r>
              <w:rPr>
                <w:rFonts w:hint="eastAsia" w:ascii="宋体" w:hAnsi="宋体" w:eastAsia="宋体" w:cs="宋体"/>
                <w:snapToGrid w:val="0"/>
                <w:sz w:val="18"/>
                <w:szCs w:val="18"/>
              </w:rPr>
              <w:t>核心技能要求</w:t>
            </w: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声乐基本演唱能力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舞蹈基本功、舞台表演能力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3</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五线谱、简谱唱名直唱能力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5</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具有较好的考试应考能力和面试沟通能力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6" w:type="dxa"/>
            <w:vMerge w:val="continue"/>
            <w:noWrap w:val="0"/>
            <w:vAlign w:val="center"/>
          </w:tcPr>
          <w:p>
            <w:pPr>
              <w:pStyle w:val="7"/>
              <w:spacing w:line="240" w:lineRule="auto"/>
              <w:ind w:firstLine="0"/>
              <w:rPr>
                <w:rFonts w:hint="eastAsia" w:ascii="宋体" w:hAnsi="宋体" w:eastAsia="宋体" w:cs="宋体"/>
                <w:snapToGrid w:val="0"/>
                <w:sz w:val="18"/>
                <w:szCs w:val="18"/>
              </w:rPr>
            </w:pPr>
          </w:p>
        </w:tc>
        <w:tc>
          <w:tcPr>
            <w:tcW w:w="735"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6</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数字新媒体直播能力</w:t>
            </w:r>
            <w:r>
              <w:rPr>
                <w:rFonts w:hint="eastAsia" w:ascii="宋体" w:hAnsi="宋体" w:cs="宋体"/>
                <w:snapToGrid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06" w:type="dxa"/>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证书要求</w:t>
            </w:r>
          </w:p>
        </w:tc>
        <w:tc>
          <w:tcPr>
            <w:tcW w:w="735" w:type="dxa"/>
            <w:tcBorders>
              <w:bottom w:val="single" w:color="auto" w:sz="4" w:space="0"/>
            </w:tcBorders>
            <w:noWrap w:val="0"/>
            <w:vAlign w:val="center"/>
          </w:tcPr>
          <w:p>
            <w:pPr>
              <w:pStyle w:val="7"/>
              <w:spacing w:line="240" w:lineRule="auto"/>
              <w:ind w:firstLine="0"/>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7500" w:type="dxa"/>
            <w:noWrap w:val="0"/>
            <w:vAlign w:val="center"/>
          </w:tcPr>
          <w:p>
            <w:pPr>
              <w:pStyle w:val="7"/>
              <w:spacing w:line="240" w:lineRule="auto"/>
              <w:ind w:firstLine="0"/>
              <w:rPr>
                <w:rFonts w:hint="eastAsia" w:ascii="宋体" w:hAnsi="宋体" w:eastAsia="宋体" w:cs="宋体"/>
                <w:snapToGrid w:val="0"/>
                <w:sz w:val="18"/>
                <w:szCs w:val="18"/>
                <w:lang w:eastAsia="zh-CN"/>
              </w:rPr>
            </w:pPr>
            <w:r>
              <w:rPr>
                <w:rFonts w:hint="eastAsia" w:ascii="宋体" w:hAnsi="宋体" w:eastAsia="宋体" w:cs="宋体"/>
                <w:snapToGrid w:val="0"/>
                <w:sz w:val="18"/>
                <w:szCs w:val="18"/>
              </w:rPr>
              <w:t>普通话水平测试等级二甲等以上</w:t>
            </w:r>
            <w:r>
              <w:rPr>
                <w:rFonts w:hint="eastAsia" w:ascii="宋体" w:hAnsi="宋体" w:cs="宋体"/>
                <w:snapToGrid w:val="0"/>
                <w:sz w:val="18"/>
                <w:szCs w:val="18"/>
                <w:lang w:eastAsia="zh-CN"/>
              </w:rPr>
              <w:t>。</w:t>
            </w:r>
          </w:p>
        </w:tc>
      </w:tr>
    </w:tbl>
    <w:p>
      <w:pPr>
        <w:overflowPunct w:val="0"/>
        <w:snapToGrid w:val="0"/>
        <w:rPr>
          <w:rFonts w:hint="eastAsia" w:ascii="仿宋" w:hAnsi="仿宋" w:eastAsia="仿宋" w:cs="仿宋"/>
          <w:color w:val="000000"/>
          <w:sz w:val="24"/>
          <w:szCs w:val="24"/>
        </w:rPr>
      </w:pPr>
    </w:p>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六、</w:t>
      </w:r>
      <w:r>
        <w:rPr>
          <w:rFonts w:hint="eastAsia" w:ascii="黑体" w:hAnsi="黑体" w:eastAsia="黑体" w:cs="Times New Roman"/>
          <w:snapToGrid w:val="0"/>
          <w:sz w:val="30"/>
          <w:szCs w:val="30"/>
        </w:rPr>
        <w:t>职业岗位和任职要求</w:t>
      </w:r>
    </w:p>
    <w:p>
      <w:pPr>
        <w:overflowPunct w:val="0"/>
        <w:snapToGrid w:val="0"/>
        <w:rPr>
          <w:rFonts w:hint="eastAsia" w:ascii="仿宋" w:hAnsi="仿宋" w:eastAsia="仿宋" w:cs="仿宋"/>
          <w:b/>
          <w:bCs/>
          <w:color w:val="000000"/>
          <w:sz w:val="24"/>
          <w:szCs w:val="24"/>
        </w:rPr>
      </w:pPr>
    </w:p>
    <w:tbl>
      <w:tblPr>
        <w:tblStyle w:val="5"/>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039"/>
        <w:gridCol w:w="2421"/>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77" w:type="dxa"/>
            <w:gridSpan w:val="2"/>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岗位名称</w:t>
            </w:r>
          </w:p>
        </w:tc>
        <w:tc>
          <w:tcPr>
            <w:tcW w:w="6673" w:type="dxa"/>
            <w:gridSpan w:val="2"/>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职业岗位描述与工作岗位任职的技能要求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38"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序号</w:t>
            </w:r>
          </w:p>
        </w:tc>
        <w:tc>
          <w:tcPr>
            <w:tcW w:w="1039"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主要职业岗位</w:t>
            </w:r>
          </w:p>
        </w:tc>
        <w:tc>
          <w:tcPr>
            <w:tcW w:w="2421"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职业岗位描述</w:t>
            </w:r>
          </w:p>
        </w:tc>
        <w:tc>
          <w:tcPr>
            <w:tcW w:w="4252"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工作岗位任职的技能要求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38"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1</w:t>
            </w:r>
          </w:p>
        </w:tc>
        <w:tc>
          <w:tcPr>
            <w:tcW w:w="1039"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参加职教高考对口升学</w:t>
            </w:r>
          </w:p>
        </w:tc>
        <w:tc>
          <w:tcPr>
            <w:tcW w:w="2421"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掌握本专业所需的语文、数学、英语文化基础知识和音乐主课（声乐演唱（民族、通俗）视唱练耳、钢琴、舞蹈基本功。</w:t>
            </w:r>
          </w:p>
          <w:p>
            <w:pPr>
              <w:pStyle w:val="7"/>
              <w:spacing w:line="240" w:lineRule="auto"/>
              <w:ind w:firstLine="0"/>
              <w:rPr>
                <w:rFonts w:hint="eastAsia" w:ascii="宋体" w:hAnsi="宋体" w:eastAsia="宋体" w:cs="宋体"/>
                <w:snapToGrid w:val="0"/>
                <w:sz w:val="21"/>
                <w:szCs w:val="21"/>
              </w:rPr>
            </w:pPr>
          </w:p>
        </w:tc>
        <w:tc>
          <w:tcPr>
            <w:tcW w:w="4252"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熟练掌握文化基础课程的基本原理和专业基本技能,能够满足职教高考对口升学《教学大纲》要求。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838"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2</w:t>
            </w:r>
          </w:p>
        </w:tc>
        <w:tc>
          <w:tcPr>
            <w:tcW w:w="1039"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中职高职贯通培养</w:t>
            </w:r>
          </w:p>
        </w:tc>
        <w:tc>
          <w:tcPr>
            <w:tcW w:w="2421"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与我省知名高校专业计划对接实现中职高职教学计划相衔接。</w:t>
            </w:r>
          </w:p>
        </w:tc>
        <w:tc>
          <w:tcPr>
            <w:tcW w:w="4252"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按照高等教育专业人才培养计划所具备的基本能力和基本任务完成中职阶段的专业技能学科教学计划，最终完成中职升高职的任务。</w:t>
            </w:r>
          </w:p>
        </w:tc>
      </w:tr>
    </w:tbl>
    <w:p>
      <w:pPr>
        <w:overflowPunct w:val="0"/>
        <w:topLinePunct/>
        <w:adjustRightInd w:val="0"/>
        <w:snapToGrid w:val="0"/>
        <w:spacing w:line="480" w:lineRule="exac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七、</w:t>
      </w:r>
      <w:r>
        <w:rPr>
          <w:rFonts w:hint="eastAsia" w:ascii="黑体" w:hAnsi="黑体" w:eastAsia="黑体" w:cs="Times New Roman"/>
          <w:snapToGrid w:val="0"/>
          <w:sz w:val="30"/>
          <w:szCs w:val="30"/>
        </w:rPr>
        <w:t>课程设置及要求</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本专业课程设置分为公共基础课和专业技能课。</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公共基础课包括德育课、文化课、体育与健康、公共艺术、历史以及其他自然科学和人文科学类基础课。</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专业技能课包括专业</w:t>
      </w:r>
      <w:r>
        <w:rPr>
          <w:rFonts w:hint="eastAsia" w:ascii="仿宋" w:hAnsi="仿宋" w:eastAsia="仿宋" w:cs="仿宋"/>
          <w:snapToGrid w:val="0"/>
          <w:sz w:val="30"/>
          <w:szCs w:val="30"/>
          <w:lang w:eastAsia="zh-CN"/>
        </w:rPr>
        <w:t>基础</w:t>
      </w:r>
      <w:r>
        <w:rPr>
          <w:rFonts w:hint="eastAsia" w:ascii="仿宋" w:hAnsi="仿宋" w:eastAsia="仿宋" w:cs="仿宋"/>
          <w:snapToGrid w:val="0"/>
          <w:sz w:val="30"/>
          <w:szCs w:val="30"/>
        </w:rPr>
        <w:t>课、</w:t>
      </w:r>
      <w:r>
        <w:rPr>
          <w:rFonts w:hint="eastAsia" w:ascii="仿宋" w:hAnsi="仿宋" w:eastAsia="仿宋" w:cs="仿宋"/>
          <w:snapToGrid w:val="0"/>
          <w:sz w:val="30"/>
          <w:szCs w:val="30"/>
          <w:lang w:eastAsia="zh-CN"/>
        </w:rPr>
        <w:t>核心专业</w:t>
      </w:r>
      <w:r>
        <w:rPr>
          <w:rFonts w:hint="eastAsia" w:ascii="仿宋" w:hAnsi="仿宋" w:eastAsia="仿宋" w:cs="仿宋"/>
          <w:snapToGrid w:val="0"/>
          <w:sz w:val="30"/>
          <w:szCs w:val="30"/>
        </w:rPr>
        <w:t>课，实习实训是专业技能课教学的重要内容，含校内外实训、顶岗实习多种形式。</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（一）公共基础课程及要求</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1.国防教育</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2.职业生涯规划</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3.职业道德与法律</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4.经济政治与社会</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5.哲学与人生</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6.语文</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7.数学</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8.</w:t>
      </w:r>
      <w:r>
        <w:rPr>
          <w:rFonts w:hint="eastAsia" w:ascii="仿宋" w:hAnsi="仿宋" w:eastAsia="仿宋" w:cs="仿宋"/>
          <w:snapToGrid w:val="0"/>
          <w:sz w:val="30"/>
          <w:szCs w:val="30"/>
          <w:lang w:eastAsia="zh-CN"/>
        </w:rPr>
        <w:t>幼儿</w:t>
      </w:r>
      <w:r>
        <w:rPr>
          <w:rFonts w:hint="eastAsia" w:ascii="仿宋" w:hAnsi="仿宋" w:eastAsia="仿宋" w:cs="仿宋"/>
          <w:snapToGrid w:val="0"/>
          <w:sz w:val="30"/>
          <w:szCs w:val="30"/>
        </w:rPr>
        <w:t>英语</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9.计算机应用基础</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掌握计算机的基础知识及计算机操作系统的基本功能，掌握 Windows的使用方法和 Windows环境下文字录人、文本编辑、排版等操作，以及表格构造、数据计算、幻灯片的制作等，熟练掌握一种汉字输入方法；了解计算机网络及互联网(Internet)的初步知识。</w:t>
      </w:r>
    </w:p>
    <w:p>
      <w:pPr>
        <w:topLinePunct/>
        <w:adjustRightInd w:val="0"/>
        <w:snapToGrid w:val="0"/>
        <w:spacing w:line="480" w:lineRule="exact"/>
        <w:jc w:val="center"/>
        <w:rPr>
          <w:rFonts w:hint="eastAsia" w:ascii="Times New Roman" w:hAnsi="Times New Roman" w:eastAsia="宋体" w:cs="Times New Roman"/>
          <w:b/>
          <w:snapToGrid w:val="0"/>
          <w:sz w:val="28"/>
          <w:szCs w:val="28"/>
        </w:rPr>
      </w:pPr>
      <w:r>
        <w:rPr>
          <w:rFonts w:hint="eastAsia" w:ascii="Times New Roman" w:hAnsi="Times New Roman" w:eastAsia="宋体" w:cs="Times New Roman"/>
          <w:b/>
          <w:snapToGrid w:val="0"/>
          <w:sz w:val="28"/>
          <w:szCs w:val="28"/>
        </w:rPr>
        <w:t>公共</w:t>
      </w:r>
      <w:r>
        <w:rPr>
          <w:rFonts w:hint="eastAsia" w:ascii="Times New Roman" w:hAnsi="Times New Roman" w:eastAsia="宋体" w:cs="Times New Roman"/>
          <w:b/>
          <w:snapToGrid w:val="0"/>
          <w:sz w:val="28"/>
          <w:szCs w:val="28"/>
          <w:lang w:eastAsia="zh-CN"/>
        </w:rPr>
        <w:t>基础</w:t>
      </w:r>
      <w:r>
        <w:rPr>
          <w:rFonts w:hint="eastAsia" w:ascii="Times New Roman" w:hAnsi="Times New Roman" w:eastAsia="宋体" w:cs="Times New Roman"/>
          <w:b/>
          <w:snapToGrid w:val="0"/>
          <w:sz w:val="28"/>
          <w:szCs w:val="28"/>
        </w:rPr>
        <w:t>课程设置及学时分配</w:t>
      </w:r>
    </w:p>
    <w:tbl>
      <w:tblPr>
        <w:tblStyle w:val="5"/>
        <w:tblW w:w="9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37"/>
        <w:gridCol w:w="5565"/>
        <w:gridCol w:w="9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1"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序号</w:t>
            </w:r>
          </w:p>
        </w:tc>
        <w:tc>
          <w:tcPr>
            <w:tcW w:w="1737"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课程名称</w:t>
            </w:r>
          </w:p>
        </w:tc>
        <w:tc>
          <w:tcPr>
            <w:tcW w:w="5565"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主要教学内容和要求</w:t>
            </w:r>
          </w:p>
        </w:tc>
        <w:tc>
          <w:tcPr>
            <w:tcW w:w="947" w:type="dxa"/>
            <w:noWrap w:val="0"/>
            <w:vAlign w:val="center"/>
          </w:tcPr>
          <w:p>
            <w:pPr>
              <w:pStyle w:val="7"/>
              <w:spacing w:line="300" w:lineRule="atLeast"/>
              <w:ind w:firstLine="0"/>
              <w:jc w:val="center"/>
              <w:rPr>
                <w:rFonts w:hint="eastAsia" w:ascii="Times New Roman" w:hAnsi="黑体" w:eastAsia="黑体" w:cs="Times New Roman"/>
                <w:snapToGrid w:val="0"/>
                <w:sz w:val="24"/>
                <w:szCs w:val="24"/>
              </w:rPr>
            </w:pPr>
            <w:r>
              <w:rPr>
                <w:rFonts w:hint="eastAsia" w:ascii="Times New Roman" w:hAnsi="黑体" w:eastAsia="黑体" w:cs="Times New Roman"/>
                <w:snapToGrid w:val="0"/>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1</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职业生涯规划</w:t>
            </w:r>
          </w:p>
        </w:tc>
        <w:tc>
          <w:tcPr>
            <w:tcW w:w="5565" w:type="dxa"/>
            <w:noWrap w:val="0"/>
            <w:vAlign w:val="center"/>
          </w:tcPr>
          <w:p>
            <w:pPr>
              <w:pStyle w:val="7"/>
              <w:spacing w:line="240" w:lineRule="auto"/>
              <w:ind w:firstLine="0" w:firstLineChars="0"/>
              <w:rPr>
                <w:rFonts w:hint="eastAsia" w:ascii="宋体" w:hAnsi="宋体" w:eastAsia="宋体" w:cs="宋体"/>
                <w:snapToGrid w:val="0"/>
                <w:sz w:val="21"/>
                <w:szCs w:val="21"/>
              </w:rPr>
            </w:pPr>
            <w:r>
              <w:rPr>
                <w:rFonts w:hint="eastAsia" w:ascii="宋体" w:hAnsi="宋体" w:cs="宋体"/>
                <w:sz w:val="21"/>
                <w:szCs w:val="21"/>
              </w:rPr>
              <w:t>依据《中等职业学校思想政治课程标准》开设，并与专业实际和行业发展密切结合。</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2</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职业道德与法律</w:t>
            </w:r>
          </w:p>
        </w:tc>
        <w:tc>
          <w:tcPr>
            <w:tcW w:w="5565" w:type="dxa"/>
            <w:noWrap w:val="0"/>
            <w:vAlign w:val="center"/>
          </w:tcPr>
          <w:p>
            <w:pPr>
              <w:pStyle w:val="7"/>
              <w:spacing w:line="240" w:lineRule="auto"/>
              <w:ind w:firstLine="0" w:firstLineChars="0"/>
              <w:rPr>
                <w:rFonts w:hint="eastAsia" w:ascii="宋体" w:hAnsi="宋体" w:eastAsia="宋体" w:cs="宋体"/>
                <w:snapToGrid w:val="0"/>
                <w:sz w:val="21"/>
                <w:szCs w:val="21"/>
              </w:rPr>
            </w:pPr>
            <w:r>
              <w:rPr>
                <w:rFonts w:hint="eastAsia" w:ascii="宋体" w:hAnsi="宋体" w:cs="宋体"/>
                <w:sz w:val="21"/>
                <w:szCs w:val="21"/>
              </w:rPr>
              <w:t>依据《中等职业学校思想政治课程标准》开设，并与专业实际和行业发展密切结合。</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3</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经济政治与社会</w:t>
            </w:r>
          </w:p>
        </w:tc>
        <w:tc>
          <w:tcPr>
            <w:tcW w:w="5565" w:type="dxa"/>
            <w:noWrap w:val="0"/>
            <w:vAlign w:val="center"/>
          </w:tcPr>
          <w:p>
            <w:pPr>
              <w:pStyle w:val="7"/>
              <w:spacing w:line="240" w:lineRule="auto"/>
              <w:ind w:firstLine="0" w:firstLineChars="0"/>
              <w:rPr>
                <w:rFonts w:hint="eastAsia" w:ascii="宋体" w:hAnsi="宋体" w:eastAsia="宋体" w:cs="宋体"/>
                <w:snapToGrid w:val="0"/>
                <w:sz w:val="21"/>
                <w:szCs w:val="21"/>
              </w:rPr>
            </w:pPr>
            <w:r>
              <w:rPr>
                <w:rFonts w:hint="eastAsia" w:ascii="宋体" w:hAnsi="宋体" w:cs="宋体"/>
                <w:sz w:val="21"/>
                <w:szCs w:val="21"/>
              </w:rPr>
              <w:t>依据《中等职业学校思想政治课程标准》开设，并与专业实际和行业发展密切结合。</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哲学与人生</w:t>
            </w:r>
          </w:p>
        </w:tc>
        <w:tc>
          <w:tcPr>
            <w:tcW w:w="5565" w:type="dxa"/>
            <w:noWrap w:val="0"/>
            <w:vAlign w:val="center"/>
          </w:tcPr>
          <w:p>
            <w:pPr>
              <w:pStyle w:val="7"/>
              <w:spacing w:line="240" w:lineRule="auto"/>
              <w:ind w:firstLine="0" w:firstLineChars="0"/>
              <w:rPr>
                <w:rFonts w:hint="eastAsia" w:ascii="宋体" w:hAnsi="宋体" w:eastAsia="宋体" w:cs="宋体"/>
                <w:snapToGrid w:val="0"/>
                <w:sz w:val="21"/>
                <w:szCs w:val="21"/>
              </w:rPr>
            </w:pPr>
            <w:r>
              <w:rPr>
                <w:rFonts w:hint="eastAsia" w:ascii="宋体" w:hAnsi="宋体" w:cs="宋体"/>
                <w:sz w:val="21"/>
                <w:szCs w:val="21"/>
              </w:rPr>
              <w:t>依据《中等职业学校思想政治课程标准》开设，并与专业实际和行业发展密切结合。</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5</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语文</w:t>
            </w:r>
          </w:p>
        </w:tc>
        <w:tc>
          <w:tcPr>
            <w:tcW w:w="5565"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依据《中等职业学校语文教学大纲》开设，并注重在职业模块的教学内容中体现专业特色。</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32</w:t>
            </w:r>
            <w:r>
              <w:rPr>
                <w:rFonts w:hint="eastAsia" w:ascii="宋体" w:hAnsi="宋体" w:eastAsia="宋体" w:cs="宋体"/>
                <w:snapToGrid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6</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数学</w:t>
            </w:r>
          </w:p>
        </w:tc>
        <w:tc>
          <w:tcPr>
            <w:tcW w:w="5565"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依据《中等职业学校数学教学大纲》开设，并注重在职业模块的教学内容中体现专业特色。</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8</w:t>
            </w:r>
            <w:r>
              <w:rPr>
                <w:rFonts w:hint="eastAsia" w:ascii="宋体" w:hAnsi="宋体" w:eastAsia="宋体" w:cs="宋体"/>
                <w:snapToGrid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7</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幼儿</w:t>
            </w:r>
            <w:r>
              <w:rPr>
                <w:rFonts w:hint="eastAsia" w:ascii="宋体" w:hAnsi="宋体" w:eastAsia="宋体" w:cs="宋体"/>
                <w:snapToGrid w:val="0"/>
                <w:sz w:val="21"/>
                <w:szCs w:val="21"/>
              </w:rPr>
              <w:t>英语</w:t>
            </w:r>
          </w:p>
        </w:tc>
        <w:tc>
          <w:tcPr>
            <w:tcW w:w="5565"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w:t>
            </w:r>
            <w:r>
              <w:rPr>
                <w:rFonts w:hint="eastAsia" w:ascii="宋体" w:hAnsi="宋体" w:cs="宋体"/>
                <w:snapToGrid w:val="0"/>
                <w:sz w:val="21"/>
                <w:szCs w:val="21"/>
                <w:lang w:eastAsia="zh-CN"/>
              </w:rPr>
              <w:t>幼儿</w:t>
            </w:r>
            <w:r>
              <w:rPr>
                <w:rFonts w:hint="eastAsia" w:ascii="宋体" w:hAnsi="宋体" w:eastAsia="宋体" w:cs="宋体"/>
                <w:snapToGrid w:val="0"/>
                <w:sz w:val="21"/>
                <w:szCs w:val="21"/>
              </w:rPr>
              <w:t>英语教学大纲》开设，并注重在职业模块的教学内容中体现专业特色。</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8</w:t>
            </w:r>
            <w:r>
              <w:rPr>
                <w:rFonts w:hint="eastAsia" w:ascii="宋体" w:hAnsi="宋体" w:eastAsia="宋体" w:cs="宋体"/>
                <w:snapToGrid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8</w:t>
            </w:r>
          </w:p>
        </w:tc>
        <w:tc>
          <w:tcPr>
            <w:tcW w:w="1737"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计算机应用基础</w:t>
            </w:r>
          </w:p>
        </w:tc>
        <w:tc>
          <w:tcPr>
            <w:tcW w:w="5565"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依据《中等职业学校计算机应用基础教学大纲》开设，并注重在职业模块的教学内容中体现专业特色。</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71" w:type="dxa"/>
            <w:noWrap w:val="0"/>
            <w:vAlign w:val="center"/>
          </w:tcPr>
          <w:p>
            <w:pPr>
              <w:pStyle w:val="7"/>
              <w:spacing w:line="240" w:lineRule="auto"/>
              <w:ind w:firstLine="0"/>
              <w:jc w:val="center"/>
              <w:rPr>
                <w:rFonts w:hint="eastAsia" w:ascii="宋体" w:hAnsi="宋体" w:eastAsia="宋体" w:cs="宋体"/>
                <w:snapToGrid w:val="0"/>
                <w:sz w:val="21"/>
                <w:szCs w:val="21"/>
                <w:lang w:val="en-US" w:eastAsia="zh-CN"/>
              </w:rPr>
            </w:pPr>
            <w:r>
              <w:rPr>
                <w:rFonts w:hint="eastAsia" w:ascii="宋体" w:hAnsi="宋体" w:cs="宋体"/>
                <w:snapToGrid w:val="0"/>
                <w:sz w:val="21"/>
                <w:szCs w:val="21"/>
                <w:lang w:val="en-US" w:eastAsia="zh-CN"/>
              </w:rPr>
              <w:t>9</w:t>
            </w:r>
          </w:p>
        </w:tc>
        <w:tc>
          <w:tcPr>
            <w:tcW w:w="1737" w:type="dxa"/>
            <w:noWrap w:val="0"/>
            <w:vAlign w:val="center"/>
          </w:tcPr>
          <w:p>
            <w:pPr>
              <w:pStyle w:val="7"/>
              <w:spacing w:line="240" w:lineRule="auto"/>
              <w:ind w:firstLine="0"/>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书法</w:t>
            </w:r>
          </w:p>
        </w:tc>
        <w:tc>
          <w:tcPr>
            <w:tcW w:w="5565" w:type="dxa"/>
            <w:noWrap w:val="0"/>
            <w:vAlign w:val="center"/>
          </w:tcPr>
          <w:p>
            <w:pPr>
              <w:pStyle w:val="7"/>
              <w:spacing w:line="240" w:lineRule="auto"/>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w:t>
            </w:r>
            <w:r>
              <w:rPr>
                <w:rFonts w:hint="eastAsia" w:ascii="宋体" w:hAnsi="宋体" w:eastAsia="宋体" w:cs="宋体"/>
                <w:snapToGrid w:val="0"/>
                <w:sz w:val="21"/>
                <w:szCs w:val="21"/>
                <w:lang w:val="en-US" w:eastAsia="zh-CN"/>
              </w:rPr>
              <w:t>书法</w:t>
            </w:r>
            <w:r>
              <w:rPr>
                <w:rFonts w:hint="eastAsia" w:ascii="宋体" w:hAnsi="宋体" w:eastAsia="宋体" w:cs="宋体"/>
                <w:snapToGrid w:val="0"/>
                <w:sz w:val="21"/>
                <w:szCs w:val="21"/>
              </w:rPr>
              <w:t>教学大纲》开设，并与专业实际和行业发展密切结合。</w:t>
            </w:r>
          </w:p>
        </w:tc>
        <w:tc>
          <w:tcPr>
            <w:tcW w:w="947" w:type="dxa"/>
            <w:noWrap w:val="0"/>
            <w:vAlign w:val="center"/>
          </w:tcPr>
          <w:p>
            <w:pPr>
              <w:pStyle w:val="7"/>
              <w:spacing w:line="240" w:lineRule="auto"/>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w:t>
            </w:r>
          </w:p>
        </w:tc>
      </w:tr>
    </w:tbl>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lang w:eastAsia="zh-CN"/>
        </w:rPr>
        <w:t>（二）</w:t>
      </w:r>
      <w:r>
        <w:rPr>
          <w:rFonts w:hint="eastAsia" w:ascii="楷体" w:hAnsi="楷体" w:eastAsia="楷体" w:cs="楷体"/>
          <w:snapToGrid w:val="0"/>
          <w:sz w:val="30"/>
          <w:szCs w:val="30"/>
        </w:rPr>
        <w:t>专业技能课及要求</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1.</w:t>
      </w:r>
      <w:r>
        <w:rPr>
          <w:rFonts w:hint="eastAsia" w:ascii="仿宋" w:hAnsi="仿宋" w:eastAsia="仿宋" w:cs="仿宋"/>
          <w:snapToGrid w:val="0"/>
          <w:sz w:val="30"/>
          <w:szCs w:val="30"/>
        </w:rPr>
        <w:t xml:space="preserve">乐理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认识并掌握简谱、五线谱的基本理论知识, 各种常见的音乐符号和基本术语，能熟练应答作业题。重点掌握各种调式音阶的特点、音程、和弦、转调理论知识。</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2.</w:t>
      </w:r>
      <w:r>
        <w:rPr>
          <w:rFonts w:hint="eastAsia" w:ascii="仿宋" w:hAnsi="仿宋" w:eastAsia="仿宋" w:cs="仿宋"/>
          <w:snapToGrid w:val="0"/>
          <w:sz w:val="30"/>
          <w:szCs w:val="30"/>
        </w:rPr>
        <w:t>视唱练耳</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本课程要求掌握以主要调式的基本音阶和关系大小调音阶的演唱。能够唱准音程还有和弦结构顺序，唱准并熟练掌握常见的各种节奏型；能够做到即看即唱。</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3.</w:t>
      </w:r>
      <w:r>
        <w:rPr>
          <w:rFonts w:hint="eastAsia" w:ascii="仿宋" w:hAnsi="仿宋" w:eastAsia="仿宋" w:cs="仿宋"/>
          <w:snapToGrid w:val="0"/>
          <w:sz w:val="30"/>
          <w:szCs w:val="30"/>
        </w:rPr>
        <w:t>声乐表演</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本课程分为两部分，第一部气息基本功练习。介绍气息的练习与运用；第二部分结合乐理、视唱练耳、和音乐欣赏基本知识进行声乐作品介绍分析，演唱基本功和舞台表演实践。</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4.</w:t>
      </w:r>
      <w:r>
        <w:rPr>
          <w:rFonts w:hint="eastAsia" w:ascii="仿宋" w:hAnsi="仿宋" w:eastAsia="仿宋" w:cs="仿宋"/>
          <w:snapToGrid w:val="0"/>
          <w:sz w:val="30"/>
          <w:szCs w:val="30"/>
        </w:rPr>
        <w:t>舞蹈基本功</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通过本课程学习提高学生动作的协调性，有节奏感，有表现力。提高身体的柔韧性、控制能力。</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5.</w:t>
      </w:r>
      <w:r>
        <w:rPr>
          <w:rFonts w:hint="eastAsia" w:ascii="仿宋" w:hAnsi="仿宋" w:eastAsia="仿宋" w:cs="仿宋"/>
          <w:snapToGrid w:val="0"/>
          <w:sz w:val="30"/>
          <w:szCs w:val="30"/>
        </w:rPr>
        <w:t>舞蹈表演</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了解舞台的入门性基础知识掌握舞台的分区应用、灯光舞台的使用方法、通过排练音乐剧片段提高舞台表现力</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6.</w:t>
      </w:r>
      <w:r>
        <w:rPr>
          <w:rFonts w:hint="eastAsia" w:ascii="仿宋" w:hAnsi="仿宋" w:eastAsia="仿宋" w:cs="仿宋"/>
          <w:snapToGrid w:val="0"/>
          <w:sz w:val="30"/>
          <w:szCs w:val="30"/>
        </w:rPr>
        <w:t>钢琴</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本课程教学主要分以下几个阶段，一是钢琴基本指法练习，二是初级钢琴曲练习，第三个阶段即兴伴奏练习。</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7.</w:t>
      </w:r>
      <w:r>
        <w:rPr>
          <w:rFonts w:hint="eastAsia" w:ascii="仿宋" w:hAnsi="仿宋" w:eastAsia="仿宋" w:cs="仿宋"/>
          <w:snapToGrid w:val="0"/>
          <w:sz w:val="30"/>
          <w:szCs w:val="30"/>
        </w:rPr>
        <w:t>舞台艺术</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该课程是音乐表演专业的一门专业基础课课程，要求学生掌握基本表演动作。熟练掌握步伐、身段等为舞台表演服务；掌握舞台的分区布局特点和舞台灯光的艺术渲染作用；</w:t>
      </w:r>
    </w:p>
    <w:p>
      <w:pPr>
        <w:spacing w:line="320" w:lineRule="exact"/>
        <w:ind w:firstLine="482" w:firstLineChars="200"/>
        <w:jc w:val="center"/>
        <w:rPr>
          <w:rFonts w:hint="eastAsia" w:ascii="仿宋" w:hAnsi="仿宋" w:eastAsia="仿宋" w:cs="仿宋"/>
          <w:b/>
          <w:sz w:val="24"/>
          <w:szCs w:val="24"/>
        </w:rPr>
      </w:pPr>
    </w:p>
    <w:p>
      <w:pPr>
        <w:topLinePunct/>
        <w:adjustRightInd w:val="0"/>
        <w:snapToGrid w:val="0"/>
        <w:spacing w:line="480" w:lineRule="exact"/>
        <w:jc w:val="center"/>
        <w:rPr>
          <w:rFonts w:hint="eastAsia" w:ascii="Times New Roman" w:hAnsi="Times New Roman" w:eastAsia="宋体" w:cs="Times New Roman"/>
          <w:b/>
          <w:snapToGrid w:val="0"/>
          <w:sz w:val="28"/>
          <w:szCs w:val="28"/>
        </w:rPr>
      </w:pPr>
      <w:r>
        <w:rPr>
          <w:rFonts w:hint="eastAsia" w:ascii="Times New Roman" w:hAnsi="Times New Roman" w:eastAsia="宋体" w:cs="Times New Roman"/>
          <w:b/>
          <w:snapToGrid w:val="0"/>
          <w:sz w:val="28"/>
          <w:szCs w:val="28"/>
        </w:rPr>
        <w:t>专业课程设置及学时分配</w:t>
      </w:r>
    </w:p>
    <w:tbl>
      <w:tblPr>
        <w:tblStyle w:val="5"/>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83"/>
        <w:gridCol w:w="596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blHeader/>
        </w:trPr>
        <w:tc>
          <w:tcPr>
            <w:tcW w:w="716" w:type="dxa"/>
            <w:noWrap w:val="0"/>
            <w:vAlign w:val="center"/>
          </w:tcPr>
          <w:p>
            <w:pPr>
              <w:pStyle w:val="7"/>
              <w:spacing w:line="300" w:lineRule="atLeast"/>
              <w:ind w:firstLine="0"/>
              <w:jc w:val="center"/>
              <w:rPr>
                <w:rFonts w:hint="eastAsia" w:ascii="Times New Roman" w:hAnsi="黑体" w:eastAsia="黑体" w:cs="Times New Roman"/>
                <w:b w:val="0"/>
                <w:bCs w:val="0"/>
                <w:snapToGrid w:val="0"/>
                <w:sz w:val="24"/>
                <w:szCs w:val="24"/>
              </w:rPr>
            </w:pPr>
            <w:r>
              <w:rPr>
                <w:rFonts w:hint="eastAsia" w:ascii="Times New Roman" w:hAnsi="黑体" w:eastAsia="黑体" w:cs="Times New Roman"/>
                <w:b w:val="0"/>
                <w:bCs w:val="0"/>
                <w:snapToGrid w:val="0"/>
                <w:sz w:val="24"/>
                <w:szCs w:val="24"/>
              </w:rPr>
              <w:t>序号</w:t>
            </w:r>
          </w:p>
        </w:tc>
        <w:tc>
          <w:tcPr>
            <w:tcW w:w="1783" w:type="dxa"/>
            <w:noWrap w:val="0"/>
            <w:vAlign w:val="center"/>
          </w:tcPr>
          <w:p>
            <w:pPr>
              <w:pStyle w:val="7"/>
              <w:spacing w:line="300" w:lineRule="atLeast"/>
              <w:ind w:firstLine="0"/>
              <w:jc w:val="center"/>
              <w:rPr>
                <w:rFonts w:hint="eastAsia" w:ascii="Times New Roman" w:hAnsi="黑体" w:eastAsia="黑体" w:cs="Times New Roman"/>
                <w:b w:val="0"/>
                <w:bCs w:val="0"/>
                <w:snapToGrid w:val="0"/>
                <w:sz w:val="24"/>
                <w:szCs w:val="24"/>
              </w:rPr>
            </w:pPr>
            <w:r>
              <w:rPr>
                <w:rFonts w:hint="eastAsia" w:ascii="Times New Roman" w:hAnsi="黑体" w:eastAsia="黑体" w:cs="Times New Roman"/>
                <w:b w:val="0"/>
                <w:bCs w:val="0"/>
                <w:snapToGrid w:val="0"/>
                <w:sz w:val="24"/>
                <w:szCs w:val="24"/>
              </w:rPr>
              <w:t>课程名称</w:t>
            </w:r>
          </w:p>
        </w:tc>
        <w:tc>
          <w:tcPr>
            <w:tcW w:w="5966" w:type="dxa"/>
            <w:noWrap w:val="0"/>
            <w:vAlign w:val="center"/>
          </w:tcPr>
          <w:p>
            <w:pPr>
              <w:pStyle w:val="7"/>
              <w:spacing w:line="300" w:lineRule="atLeast"/>
              <w:ind w:firstLine="0"/>
              <w:jc w:val="center"/>
              <w:rPr>
                <w:rFonts w:hint="eastAsia" w:ascii="Times New Roman" w:hAnsi="黑体" w:eastAsia="黑体" w:cs="Times New Roman"/>
                <w:b w:val="0"/>
                <w:bCs w:val="0"/>
                <w:snapToGrid w:val="0"/>
                <w:sz w:val="24"/>
                <w:szCs w:val="24"/>
              </w:rPr>
            </w:pPr>
            <w:r>
              <w:rPr>
                <w:rFonts w:hint="eastAsia" w:ascii="Times New Roman" w:hAnsi="黑体" w:eastAsia="黑体" w:cs="Times New Roman"/>
                <w:b w:val="0"/>
                <w:bCs w:val="0"/>
                <w:snapToGrid w:val="0"/>
                <w:sz w:val="24"/>
                <w:szCs w:val="24"/>
              </w:rPr>
              <w:t>主要知识与技能点</w:t>
            </w:r>
          </w:p>
        </w:tc>
        <w:tc>
          <w:tcPr>
            <w:tcW w:w="1179" w:type="dxa"/>
            <w:noWrap w:val="0"/>
            <w:vAlign w:val="center"/>
          </w:tcPr>
          <w:p>
            <w:pPr>
              <w:pStyle w:val="7"/>
              <w:spacing w:line="300" w:lineRule="atLeast"/>
              <w:ind w:firstLine="0"/>
              <w:jc w:val="center"/>
              <w:rPr>
                <w:rFonts w:hint="eastAsia" w:ascii="Times New Roman" w:hAnsi="黑体" w:eastAsia="黑体" w:cs="Times New Roman"/>
                <w:b w:val="0"/>
                <w:bCs w:val="0"/>
                <w:snapToGrid w:val="0"/>
                <w:sz w:val="24"/>
                <w:szCs w:val="24"/>
              </w:rPr>
            </w:pPr>
            <w:r>
              <w:rPr>
                <w:rFonts w:hint="eastAsia" w:ascii="Times New Roman" w:hAnsi="黑体" w:eastAsia="黑体" w:cs="Times New Roman"/>
                <w:b w:val="0"/>
                <w:bCs w:val="0"/>
                <w:snapToGrid w:val="0"/>
                <w:sz w:val="24"/>
                <w:szCs w:val="24"/>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1</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乐理</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认识并掌握简谱、五线谱的基本理论知识。</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视唱练耳</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本课程要求掌握以主要调式的基本音阶和关系大小调音阶的演唱。</w:t>
            </w:r>
          </w:p>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 xml:space="preserve">能够唱准音程还有和弦结构顺序，唱准并熟练掌握常见的各种节奏型；能够做到即看即唱。 </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cs="宋体"/>
                <w:b w:val="0"/>
                <w:bCs w:val="0"/>
                <w:snapToGrid w:val="0"/>
                <w:sz w:val="24"/>
                <w:szCs w:val="24"/>
                <w:lang w:val="en-US" w:eastAsia="zh-CN"/>
              </w:rPr>
              <w:t>3</w:t>
            </w:r>
            <w:r>
              <w:rPr>
                <w:rFonts w:hint="eastAsia" w:ascii="宋体" w:hAnsi="宋体" w:eastAsia="宋体" w:cs="宋体"/>
                <w:b w:val="0"/>
                <w:bCs w:val="0"/>
                <w:snapToGrid w:val="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3</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声乐演唱</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本课程分为两部分，第一部气息基本功练习。介绍气息的练习与运用；第二部分结合乐理、视唱练耳、和音乐欣赏基本知识进行声乐作品介绍分析，演唱基本功和舞台表演实践。</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4</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民族民间音乐</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 xml:space="preserve">通过本课程学习提高学生音乐欣赏能力，有节奏感，对音乐有表现力，控制能力。  </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5</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键盘乐器</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了解键盘的入门性基础知识掌握键盘的应用、使用方法、通过键盘练习提高音乐表现力。</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16"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6</w:t>
            </w:r>
          </w:p>
        </w:tc>
        <w:tc>
          <w:tcPr>
            <w:tcW w:w="1783"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钢琴基础</w:t>
            </w:r>
          </w:p>
        </w:tc>
        <w:tc>
          <w:tcPr>
            <w:tcW w:w="5966" w:type="dxa"/>
            <w:noWrap w:val="0"/>
            <w:vAlign w:val="center"/>
          </w:tcPr>
          <w:p>
            <w:pPr>
              <w:pStyle w:val="7"/>
              <w:spacing w:line="240" w:lineRule="auto"/>
              <w:ind w:firstLine="0"/>
              <w:jc w:val="left"/>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本课程教学主要分以下几个阶段，一是钢琴基本指法练习，二是初级钢琴曲练习，第三个阶段即兴伴奏练习。</w:t>
            </w:r>
          </w:p>
        </w:tc>
        <w:tc>
          <w:tcPr>
            <w:tcW w:w="1179" w:type="dxa"/>
            <w:noWrap w:val="0"/>
            <w:vAlign w:val="center"/>
          </w:tcPr>
          <w:p>
            <w:pPr>
              <w:pStyle w:val="7"/>
              <w:spacing w:line="240" w:lineRule="auto"/>
              <w:ind w:firstLine="0"/>
              <w:jc w:val="center"/>
              <w:rPr>
                <w:rFonts w:hint="eastAsia" w:ascii="宋体" w:hAnsi="宋体" w:eastAsia="宋体" w:cs="宋体"/>
                <w:b w:val="0"/>
                <w:bCs w:val="0"/>
                <w:snapToGrid w:val="0"/>
                <w:sz w:val="24"/>
                <w:szCs w:val="24"/>
                <w:lang w:val="en-US" w:eastAsia="zh-CN"/>
              </w:rPr>
            </w:pPr>
            <w:r>
              <w:rPr>
                <w:rFonts w:hint="eastAsia" w:ascii="宋体" w:hAnsi="宋体" w:eastAsia="宋体" w:cs="宋体"/>
                <w:b w:val="0"/>
                <w:bCs w:val="0"/>
                <w:snapToGrid w:val="0"/>
                <w:sz w:val="24"/>
                <w:szCs w:val="24"/>
                <w:lang w:val="en-US" w:eastAsia="zh-CN"/>
              </w:rPr>
              <w:t>240</w:t>
            </w:r>
          </w:p>
        </w:tc>
      </w:tr>
    </w:tbl>
    <w:p>
      <w:pPr>
        <w:overflowPunct w:val="0"/>
        <w:snapToGrid w:val="0"/>
        <w:rPr>
          <w:rFonts w:hint="eastAsia" w:ascii="仿宋" w:hAnsi="仿宋" w:eastAsia="仿宋" w:cs="仿宋"/>
          <w:color w:val="000000"/>
          <w:sz w:val="24"/>
          <w:szCs w:val="24"/>
        </w:rPr>
      </w:pPr>
    </w:p>
    <w:p>
      <w:pPr>
        <w:numPr>
          <w:ilvl w:val="0"/>
          <w:numId w:val="0"/>
        </w:numPr>
        <w:overflowPunct w:val="0"/>
        <w:snapToGrid w:val="0"/>
        <w:ind w:firstLine="600" w:firstLineChars="200"/>
        <w:rPr>
          <w:rFonts w:hint="eastAsia" w:ascii="仿宋" w:hAnsi="仿宋" w:eastAsia="仿宋" w:cs="仿宋"/>
          <w:b/>
          <w:bCs/>
          <w:color w:val="000000"/>
          <w:sz w:val="24"/>
          <w:szCs w:val="24"/>
        </w:rPr>
      </w:pPr>
      <w:r>
        <w:rPr>
          <w:rFonts w:hint="eastAsia" w:ascii="黑体" w:hAnsi="黑体" w:eastAsia="黑体" w:cs="Times New Roman"/>
          <w:snapToGrid w:val="0"/>
          <w:sz w:val="30"/>
          <w:szCs w:val="30"/>
          <w:lang w:val="en-US" w:eastAsia="zh-CN"/>
        </w:rPr>
        <w:t>八、</w:t>
      </w:r>
      <w:r>
        <w:rPr>
          <w:rFonts w:hint="eastAsia" w:ascii="黑体" w:hAnsi="黑体" w:eastAsia="黑体" w:cs="Times New Roman"/>
          <w:snapToGrid w:val="0"/>
          <w:sz w:val="30"/>
          <w:szCs w:val="30"/>
        </w:rPr>
        <w:t>教学进程总体安排</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楷体" w:hAnsi="楷体" w:eastAsia="楷体" w:cs="楷体"/>
          <w:snapToGrid w:val="0"/>
          <w:sz w:val="30"/>
          <w:szCs w:val="30"/>
          <w:lang w:val="en-US" w:eastAsia="zh-CN"/>
        </w:rPr>
        <w:t>1.</w:t>
      </w:r>
      <w:r>
        <w:rPr>
          <w:rFonts w:hint="eastAsia" w:ascii="楷体" w:hAnsi="楷体" w:eastAsia="楷体" w:cs="楷体"/>
          <w:snapToGrid w:val="0"/>
          <w:sz w:val="30"/>
          <w:szCs w:val="30"/>
        </w:rPr>
        <w:t>基本要求</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公共基础课学时约占总学时的1/3。</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专业</w:t>
      </w:r>
      <w:r>
        <w:rPr>
          <w:rFonts w:hint="eastAsia" w:ascii="仿宋" w:hAnsi="仿宋" w:eastAsia="仿宋" w:cs="仿宋"/>
          <w:snapToGrid w:val="0"/>
          <w:sz w:val="30"/>
          <w:szCs w:val="30"/>
          <w:lang w:val="en-US" w:eastAsia="zh-CN"/>
        </w:rPr>
        <w:t>基础</w:t>
      </w:r>
      <w:r>
        <w:rPr>
          <w:rFonts w:hint="eastAsia" w:ascii="仿宋" w:hAnsi="仿宋" w:eastAsia="仿宋" w:cs="仿宋"/>
          <w:snapToGrid w:val="0"/>
          <w:sz w:val="30"/>
          <w:szCs w:val="30"/>
        </w:rPr>
        <w:t>课</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lang w:val="en-US" w:eastAsia="zh-CN"/>
        </w:rPr>
        <w:t>核心专业课</w:t>
      </w:r>
      <w:r>
        <w:rPr>
          <w:rFonts w:hint="eastAsia" w:ascii="仿宋" w:hAnsi="仿宋" w:eastAsia="仿宋" w:cs="仿宋"/>
          <w:snapToGrid w:val="0"/>
          <w:sz w:val="30"/>
          <w:szCs w:val="30"/>
        </w:rPr>
        <w:t>学时约占总学时的2/3，在确保学生实习总量的前提下，根据实际需要集中或分阶段安排实习时间。</w:t>
      </w:r>
    </w:p>
    <w:p>
      <w:pPr>
        <w:topLinePunct/>
        <w:adjustRightInd w:val="0"/>
        <w:snapToGrid w:val="0"/>
        <w:spacing w:line="56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lang w:val="en-US" w:eastAsia="zh-CN"/>
        </w:rPr>
        <w:t>2.</w:t>
      </w:r>
      <w:r>
        <w:rPr>
          <w:rFonts w:hint="eastAsia" w:ascii="楷体" w:hAnsi="楷体" w:eastAsia="楷体" w:cs="楷体"/>
          <w:snapToGrid w:val="0"/>
          <w:sz w:val="30"/>
          <w:szCs w:val="30"/>
        </w:rPr>
        <w:t>教学进度计划安排表</w:t>
      </w:r>
    </w:p>
    <w:tbl>
      <w:tblPr>
        <w:tblStyle w:val="5"/>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0"/>
        <w:gridCol w:w="550"/>
        <w:gridCol w:w="2094"/>
        <w:gridCol w:w="714"/>
        <w:gridCol w:w="744"/>
        <w:gridCol w:w="521"/>
        <w:gridCol w:w="494"/>
        <w:gridCol w:w="490"/>
        <w:gridCol w:w="443"/>
        <w:gridCol w:w="509"/>
        <w:gridCol w:w="464"/>
        <w:gridCol w:w="568"/>
        <w:gridCol w:w="856"/>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897" w:type="dxa"/>
            <w:gridSpan w:val="14"/>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音乐表演专业教学进程计划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23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专业：</w:t>
            </w:r>
          </w:p>
        </w:tc>
        <w:tc>
          <w:tcPr>
            <w:tcW w:w="20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音乐表演</w:t>
            </w:r>
          </w:p>
        </w:tc>
        <w:tc>
          <w:tcPr>
            <w:tcW w:w="197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学制：三年</w:t>
            </w:r>
          </w:p>
        </w:tc>
        <w:tc>
          <w:tcPr>
            <w:tcW w:w="4594"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课程模块</w:t>
            </w:r>
          </w:p>
        </w:tc>
        <w:tc>
          <w:tcPr>
            <w:tcW w:w="5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序 号</w:t>
            </w:r>
          </w:p>
        </w:tc>
        <w:tc>
          <w:tcPr>
            <w:tcW w:w="20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9"/>
                <w:lang w:val="en-US" w:eastAsia="zh-CN" w:bidi="ar"/>
              </w:rPr>
              <w:t>课程名称</w:t>
            </w:r>
          </w:p>
        </w:tc>
        <w:tc>
          <w:tcPr>
            <w:tcW w:w="71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总学时</w:t>
            </w:r>
          </w:p>
        </w:tc>
        <w:tc>
          <w:tcPr>
            <w:tcW w:w="1265" w:type="dxa"/>
            <w:gridSpan w:val="2"/>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学时分配</w:t>
            </w:r>
          </w:p>
        </w:tc>
        <w:tc>
          <w:tcPr>
            <w:tcW w:w="2968"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各学期学时分配（周学时）</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理</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实</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一</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二</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三</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四</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五</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8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备注</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论</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践</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公共基础课</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国防教育</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restart"/>
            <w:tcBorders>
              <w:top w:val="single" w:color="000000" w:sz="4" w:space="0"/>
              <w:left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default" w:eastAsiaTheme="minorEastAsia"/>
                <w:lang w:val="en-US" w:eastAsia="zh-CN"/>
              </w:rPr>
            </w:pPr>
            <w:r>
              <w:rPr>
                <w:rFonts w:hint="eastAsia"/>
                <w:lang w:val="en-US" w:eastAsia="zh-CN"/>
              </w:rPr>
              <w:t>顶岗实习</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军训</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劳动教育</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劳动周</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职业生涯规划</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职业道德与法律</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经济政治与社会</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应用文写作</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礼仪</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语文</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数学</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幼儿英语</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幼儿教师口语</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书法</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计算机应用基础</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专业基础课</w:t>
            </w: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民族民间音乐</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钢琴基础</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键盘乐器</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1"/>
                <w:lang w:val="en-US" w:eastAsia="zh-CN" w:bidi="ar"/>
              </w:rPr>
              <w:t>核心专业课</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乐理</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声乐演唱</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032" w:type="dxa"/>
            <w:gridSpan w:val="2"/>
            <w:vMerge w:val="continue"/>
            <w:tcBorders>
              <w:left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Style w:val="9"/>
                <w:rFonts w:hint="eastAsia"/>
                <w:lang w:val="en-US" w:eastAsia="zh-CN" w:bidi="ar"/>
              </w:rPr>
            </w:pPr>
            <w:r>
              <w:rPr>
                <w:rFonts w:hint="eastAsia" w:ascii="宋体" w:hAnsi="宋体" w:eastAsia="宋体" w:cs="宋体"/>
                <w:i w:val="0"/>
                <w:iCs w:val="0"/>
                <w:color w:val="000000"/>
                <w:kern w:val="0"/>
                <w:sz w:val="18"/>
                <w:szCs w:val="18"/>
                <w:u w:val="none"/>
                <w:lang w:val="en-US" w:eastAsia="zh-CN" w:bidi="ar"/>
              </w:rPr>
              <w:t>视唱练耳</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32" w:type="dxa"/>
            <w:gridSpan w:val="2"/>
            <w:vMerge w:val="continue"/>
            <w:tcBorders>
              <w:left w:val="single" w:color="000000" w:sz="4" w:space="0"/>
              <w:bottom w:val="single" w:color="000000" w:sz="4" w:space="0"/>
              <w:right w:val="single" w:color="000000" w:sz="4" w:space="0"/>
            </w:tcBorders>
            <w:noWrap/>
            <w:textDirection w:val="tbRlV"/>
            <w:vAlign w:val="center"/>
          </w:tcPr>
          <w:p>
            <w:pPr>
              <w:jc w:val="cente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lang w:val="en-US" w:eastAsia="zh-CN" w:bidi="ar"/>
              </w:rPr>
              <w:t>总学时</w:t>
            </w:r>
          </w:p>
        </w:tc>
        <w:tc>
          <w:tcPr>
            <w:tcW w:w="7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3440</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1580</w:t>
            </w:r>
          </w:p>
        </w:tc>
        <w:tc>
          <w:tcPr>
            <w:tcW w:w="5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660</w:t>
            </w:r>
          </w:p>
        </w:tc>
        <w:tc>
          <w:tcPr>
            <w:tcW w:w="4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4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4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18"/>
                <w:szCs w:val="18"/>
                <w:u w:val="none"/>
                <w:lang w:val="en-US" w:eastAsia="zh-CN"/>
              </w:rPr>
              <w:t>28</w:t>
            </w:r>
          </w:p>
        </w:tc>
        <w:tc>
          <w:tcPr>
            <w:tcW w:w="5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4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pPr>
        <w:spacing w:line="320" w:lineRule="exact"/>
        <w:rPr>
          <w:rFonts w:hint="eastAsia" w:ascii="仿宋" w:hAnsi="仿宋" w:eastAsia="仿宋" w:cs="仿宋"/>
          <w:b/>
          <w:snapToGrid w:val="0"/>
          <w:sz w:val="36"/>
          <w:szCs w:val="36"/>
        </w:rPr>
      </w:pPr>
    </w:p>
    <w:p>
      <w:pPr>
        <w:numPr>
          <w:ilvl w:val="0"/>
          <w:numId w:val="0"/>
        </w:numPr>
        <w:overflowPunct w:val="0"/>
        <w:snapToGrid w:val="0"/>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九、实施保障</w:t>
      </w:r>
    </w:p>
    <w:p>
      <w:pPr>
        <w:topLinePunct/>
        <w:adjustRightInd w:val="0"/>
        <w:snapToGrid w:val="0"/>
        <w:spacing w:line="56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（一）师资队伍</w:t>
      </w:r>
    </w:p>
    <w:p>
      <w:pPr>
        <w:topLinePunct/>
        <w:adjustRightInd w:val="0"/>
        <w:snapToGrid w:val="0"/>
        <w:spacing w:line="560" w:lineRule="exact"/>
        <w:ind w:firstLine="600" w:firstLineChars="200"/>
        <w:rPr>
          <w:rFonts w:hint="eastAsia" w:ascii="仿宋" w:hAnsi="仿宋" w:eastAsia="仿宋" w:cs="仿宋"/>
          <w:color w:val="000000"/>
          <w:sz w:val="24"/>
          <w:szCs w:val="24"/>
        </w:rPr>
      </w:pPr>
      <w:r>
        <w:rPr>
          <w:rFonts w:hint="eastAsia" w:ascii="仿宋" w:hAnsi="仿宋" w:eastAsia="仿宋" w:cs="仿宋"/>
          <w:snapToGrid w:val="0"/>
          <w:sz w:val="30"/>
          <w:szCs w:val="30"/>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w:t>
      </w:r>
      <w:r>
        <w:rPr>
          <w:rFonts w:hint="eastAsia" w:ascii="仿宋" w:hAnsi="仿宋" w:eastAsia="仿宋" w:cs="仿宋"/>
          <w:snapToGrid w:val="0"/>
          <w:sz w:val="30"/>
          <w:szCs w:val="30"/>
          <w:lang w:val="en-US" w:eastAsia="zh-CN"/>
        </w:rPr>
        <w:t>8</w:t>
      </w:r>
      <w:r>
        <w:rPr>
          <w:rFonts w:hint="eastAsia" w:ascii="仿宋" w:hAnsi="仿宋" w:eastAsia="仿宋" w:cs="仿宋"/>
          <w:snapToGrid w:val="0"/>
          <w:sz w:val="30"/>
          <w:szCs w:val="30"/>
        </w:rPr>
        <w:t>人，其中双师型教师大于80%。建立“双师型”专业教师团队，有业务水平较高的专业带头人</w:t>
      </w:r>
      <w:r>
        <w:rPr>
          <w:rFonts w:hint="eastAsia" w:ascii="仿宋" w:hAnsi="仿宋" w:eastAsia="仿宋" w:cs="仿宋"/>
          <w:color w:val="000000"/>
          <w:sz w:val="24"/>
          <w:szCs w:val="24"/>
        </w:rPr>
        <w:t>。</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（二）教学设施</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1.校内实训基地</w:t>
      </w:r>
    </w:p>
    <w:p>
      <w:pPr>
        <w:autoSpaceDE w:val="0"/>
        <w:spacing w:line="320" w:lineRule="exact"/>
        <w:ind w:firstLine="361" w:firstLineChars="150"/>
        <w:jc w:val="center"/>
        <w:rPr>
          <w:rFonts w:hint="eastAsia" w:ascii="仿宋" w:hAnsi="仿宋" w:eastAsia="仿宋" w:cs="仿宋"/>
          <w:b/>
          <w:bCs/>
          <w:sz w:val="24"/>
          <w:szCs w:val="24"/>
        </w:rPr>
      </w:pPr>
      <w:r>
        <w:rPr>
          <w:rFonts w:hint="eastAsia" w:ascii="仿宋" w:hAnsi="仿宋" w:eastAsia="仿宋" w:cs="仿宋"/>
          <w:b/>
          <w:bCs/>
          <w:sz w:val="24"/>
          <w:szCs w:val="24"/>
        </w:rPr>
        <w:t>音乐表演专业实验实习设备一览表</w:t>
      </w:r>
    </w:p>
    <w:tbl>
      <w:tblPr>
        <w:tblStyle w:val="5"/>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实训基地名称</w:t>
            </w:r>
          </w:p>
        </w:tc>
        <w:tc>
          <w:tcPr>
            <w:tcW w:w="1984"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所用专业</w:t>
            </w:r>
          </w:p>
        </w:tc>
        <w:tc>
          <w:tcPr>
            <w:tcW w:w="267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电钢琴实训室2个</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音乐表演专业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多功能排练厅1个</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舞蹈表演专业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日常教学实训</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多媒体音乐教室2个</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音乐表演专业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日常教学实训</w:t>
            </w:r>
          </w:p>
        </w:tc>
      </w:tr>
    </w:tbl>
    <w:p>
      <w:pPr>
        <w:overflowPunct w:val="0"/>
        <w:snapToGrid w:val="0"/>
        <w:spacing w:line="400" w:lineRule="exact"/>
        <w:rPr>
          <w:rFonts w:hint="eastAsia" w:ascii="仿宋" w:hAnsi="仿宋" w:eastAsia="仿宋" w:cs="仿宋"/>
          <w:color w:val="000000"/>
          <w:sz w:val="24"/>
          <w:szCs w:val="24"/>
        </w:rPr>
      </w:pP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2.校外实训基地</w:t>
      </w:r>
    </w:p>
    <w:p>
      <w:pPr>
        <w:autoSpaceDE w:val="0"/>
        <w:spacing w:line="320" w:lineRule="exact"/>
        <w:ind w:firstLine="361" w:firstLineChars="150"/>
        <w:jc w:val="center"/>
        <w:rPr>
          <w:rFonts w:hint="eastAsia" w:ascii="仿宋" w:hAnsi="仿宋" w:eastAsia="仿宋" w:cs="仿宋"/>
          <w:b/>
          <w:bCs/>
          <w:sz w:val="24"/>
          <w:szCs w:val="24"/>
        </w:rPr>
      </w:pPr>
      <w:r>
        <w:rPr>
          <w:rFonts w:hint="eastAsia" w:ascii="仿宋" w:hAnsi="仿宋" w:eastAsia="仿宋" w:cs="仿宋"/>
          <w:b/>
          <w:bCs/>
          <w:sz w:val="24"/>
          <w:szCs w:val="24"/>
        </w:rPr>
        <w:t>音乐表演专业实验实习设备一览表</w:t>
      </w:r>
    </w:p>
    <w:tbl>
      <w:tblPr>
        <w:tblStyle w:val="5"/>
        <w:tblW w:w="8641" w:type="dxa"/>
        <w:jc w:val="center"/>
        <w:tblLayout w:type="fixed"/>
        <w:tblCellMar>
          <w:top w:w="0" w:type="dxa"/>
          <w:left w:w="108" w:type="dxa"/>
          <w:bottom w:w="0" w:type="dxa"/>
          <w:right w:w="108" w:type="dxa"/>
        </w:tblCellMar>
      </w:tblPr>
      <w:tblGrid>
        <w:gridCol w:w="906"/>
        <w:gridCol w:w="3078"/>
        <w:gridCol w:w="1984"/>
        <w:gridCol w:w="2673"/>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3078"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实训基地名称</w:t>
            </w:r>
          </w:p>
        </w:tc>
        <w:tc>
          <w:tcPr>
            <w:tcW w:w="1984"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所用专业</w:t>
            </w:r>
          </w:p>
        </w:tc>
        <w:tc>
          <w:tcPr>
            <w:tcW w:w="2673" w:type="dxa"/>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专业科目</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驻马店市文化馆</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音乐表演专业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实训实践</w:t>
            </w:r>
          </w:p>
        </w:tc>
      </w:tr>
      <w:tr>
        <w:tblPrEx>
          <w:tblCellMar>
            <w:top w:w="0" w:type="dxa"/>
            <w:left w:w="108" w:type="dxa"/>
            <w:bottom w:w="0" w:type="dxa"/>
            <w:right w:w="108" w:type="dxa"/>
          </w:tblCellMar>
        </w:tblPrEx>
        <w:trPr>
          <w:trHeight w:val="600" w:hRule="atLeast"/>
          <w:jc w:val="center"/>
        </w:trPr>
        <w:tc>
          <w:tcPr>
            <w:tcW w:w="906" w:type="dxa"/>
            <w:tcBorders>
              <w:top w:val="nil"/>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3078"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杭州时光坐标影视</w:t>
            </w:r>
          </w:p>
          <w:p>
            <w:pPr>
              <w:widowControl/>
              <w:spacing w:line="32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有限公司</w:t>
            </w:r>
          </w:p>
        </w:tc>
        <w:tc>
          <w:tcPr>
            <w:tcW w:w="1984"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音乐表演专业</w:t>
            </w:r>
          </w:p>
        </w:tc>
        <w:tc>
          <w:tcPr>
            <w:tcW w:w="2673" w:type="dxa"/>
            <w:tcBorders>
              <w:top w:val="nil"/>
              <w:left w:val="nil"/>
              <w:bottom w:val="single" w:color="auto" w:sz="4" w:space="0"/>
              <w:right w:val="single" w:color="auto" w:sz="4" w:space="0"/>
            </w:tcBorders>
            <w:noWrap w:val="0"/>
            <w:vAlign w:val="center"/>
          </w:tcPr>
          <w:p>
            <w:pPr>
              <w:widowControl/>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实训实践</w:t>
            </w:r>
          </w:p>
        </w:tc>
      </w:tr>
    </w:tbl>
    <w:p>
      <w:pPr>
        <w:jc w:val="center"/>
        <w:rPr>
          <w:rFonts w:hint="eastAsia" w:ascii="仿宋" w:hAnsi="仿宋" w:eastAsia="仿宋" w:cs="仿宋"/>
          <w:color w:val="000000"/>
          <w:sz w:val="24"/>
          <w:szCs w:val="24"/>
        </w:rPr>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A2C63E5"/>
    <w:rsid w:val="00A65BC8"/>
    <w:rsid w:val="022B0E5C"/>
    <w:rsid w:val="0A2C63E5"/>
    <w:rsid w:val="0AD87B45"/>
    <w:rsid w:val="0DD93CD0"/>
    <w:rsid w:val="0E797538"/>
    <w:rsid w:val="0ED91102"/>
    <w:rsid w:val="0F6C03BE"/>
    <w:rsid w:val="11E3705D"/>
    <w:rsid w:val="121C2B6E"/>
    <w:rsid w:val="135A42EF"/>
    <w:rsid w:val="14F25809"/>
    <w:rsid w:val="16B962F1"/>
    <w:rsid w:val="18826EA4"/>
    <w:rsid w:val="1A75281D"/>
    <w:rsid w:val="1D524C10"/>
    <w:rsid w:val="1D981687"/>
    <w:rsid w:val="29E10A47"/>
    <w:rsid w:val="2FD656B4"/>
    <w:rsid w:val="309069E5"/>
    <w:rsid w:val="34D82D1A"/>
    <w:rsid w:val="366F6862"/>
    <w:rsid w:val="3AD47FC3"/>
    <w:rsid w:val="3C922B76"/>
    <w:rsid w:val="46020B59"/>
    <w:rsid w:val="46CE1624"/>
    <w:rsid w:val="46FD57C4"/>
    <w:rsid w:val="484A2C8B"/>
    <w:rsid w:val="490177EE"/>
    <w:rsid w:val="4A83450D"/>
    <w:rsid w:val="4A9511C2"/>
    <w:rsid w:val="4D630680"/>
    <w:rsid w:val="51656440"/>
    <w:rsid w:val="528B58C1"/>
    <w:rsid w:val="52B256B5"/>
    <w:rsid w:val="587A0A23"/>
    <w:rsid w:val="6017749F"/>
    <w:rsid w:val="64D85BD2"/>
    <w:rsid w:val="6932306E"/>
    <w:rsid w:val="6AD2649C"/>
    <w:rsid w:val="6E4E22DE"/>
    <w:rsid w:val="76E3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napToGrid/>
      <w:color w:val="FF0000"/>
      <w:kern w:val="0"/>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文"/>
    <w:basedOn w:val="1"/>
    <w:qFormat/>
    <w:uiPriority w:val="0"/>
    <w:pPr>
      <w:tabs>
        <w:tab w:val="left" w:pos="426"/>
        <w:tab w:val="left" w:pos="709"/>
      </w:tabs>
      <w:topLinePunct/>
      <w:adjustRightInd w:val="0"/>
      <w:snapToGrid w:val="0"/>
      <w:spacing w:line="320" w:lineRule="atLeast"/>
    </w:pPr>
    <w:rPr>
      <w:rFonts w:ascii="Times New Roman" w:hAnsi="Times New Roman" w:eastAsia="宋体"/>
      <w:position w:val="10"/>
      <w:sz w:val="18"/>
      <w:szCs w:val="18"/>
    </w:rPr>
  </w:style>
  <w:style w:type="paragraph" w:customStyle="1" w:styleId="8">
    <w:name w:val="bt2"/>
    <w:basedOn w:val="1"/>
    <w:qFormat/>
    <w:uiPriority w:val="0"/>
    <w:pPr>
      <w:tabs>
        <w:tab w:val="left" w:pos="426"/>
      </w:tabs>
      <w:topLinePunct/>
      <w:adjustRightInd w:val="0"/>
      <w:snapToGrid w:val="0"/>
      <w:spacing w:before="70" w:beforeLines="70" w:after="30" w:afterLines="30" w:line="400" w:lineRule="atLeast"/>
      <w:ind w:firstLine="539"/>
      <w:jc w:val="left"/>
    </w:pPr>
    <w:rPr>
      <w:rFonts w:ascii="黑体" w:hAnsi="黑体" w:eastAsia="方正大标宋_GBK"/>
      <w:snapToGrid w:val="0"/>
      <w:sz w:val="28"/>
      <w:szCs w:val="28"/>
    </w:rPr>
  </w:style>
  <w:style w:type="character" w:customStyle="1" w:styleId="9">
    <w:name w:val="font21"/>
    <w:basedOn w:val="6"/>
    <w:qFormat/>
    <w:uiPriority w:val="0"/>
    <w:rPr>
      <w:rFonts w:hint="eastAsia" w:ascii="宋体" w:hAnsi="宋体" w:eastAsia="宋体" w:cs="宋体"/>
      <w:color w:val="000000"/>
      <w:sz w:val="18"/>
      <w:szCs w:val="18"/>
      <w:u w:val="non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31"/>
    <w:basedOn w:val="6"/>
    <w:qFormat/>
    <w:uiPriority w:val="0"/>
    <w:rPr>
      <w:rFonts w:hint="eastAsia" w:ascii="宋体" w:hAnsi="宋体" w:eastAsia="宋体" w:cs="宋体"/>
      <w:color w:val="000000"/>
      <w:sz w:val="20"/>
      <w:szCs w:val="20"/>
      <w:u w:val="none"/>
    </w:rPr>
  </w:style>
  <w:style w:type="character" w:customStyle="1" w:styleId="12">
    <w:name w:val="font4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5034</Words>
  <Characters>5229</Characters>
  <Lines>0</Lines>
  <Paragraphs>0</Paragraphs>
  <TotalTime>5</TotalTime>
  <ScaleCrop>false</ScaleCrop>
  <LinksUpToDate>false</LinksUpToDate>
  <CharactersWithSpaces>5252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2022-03-07T07:48:00Z</dcterms:created>
  <dc:creator>cjxxyuyang</dc:creator>
  <cp:lastModifiedBy>Spring</cp:lastModifiedBy>
  <dcterms:modified xsi:type="dcterms:W3CDTF">2023-08-27T08:43:13Z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628D41D9BCF347219150FCE3702D996B</vt:lpwstr>
  </property>
</Properties>
</file>