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20" w:lineRule="exact"/>
        <w:rPr>
          <w:rFonts w:ascii="宋体" w:hAnsi="宋体"/>
          <w:color w:val="FF0000"/>
          <w:sz w:val="72"/>
          <w:szCs w:val="72"/>
        </w:rPr>
      </w:pPr>
    </w:p>
    <w:p>
      <w:pPr>
        <w:snapToGrid/>
        <w:spacing w:line="360" w:lineRule="auto"/>
        <w:ind w:firstLine="0"/>
        <w:jc w:val="center"/>
        <w:rPr>
          <w:rFonts w:ascii="方正小标宋简体" w:hAnsi="宋体" w:eastAsia="方正小标宋简体"/>
          <w:color w:val="FF0000"/>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幼儿保育专业人才培养方案</w:t>
      </w:r>
    </w:p>
    <w:p>
      <w:pPr>
        <w:spacing w:line="480" w:lineRule="auto"/>
        <w:rPr>
          <w:rFonts w:ascii="黑体" w:hAnsi="宋体" w:eastAsia="黑体"/>
          <w:color w:val="FF0000"/>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2022年11月</w:t>
      </w:r>
    </w:p>
    <w:p>
      <w:pPr>
        <w:spacing w:line="480" w:lineRule="auto"/>
        <w:ind w:firstLine="0"/>
        <w:jc w:val="center"/>
        <w:rPr>
          <w:rFonts w:ascii="黑体" w:hAnsi="宋体" w:eastAsia="黑体"/>
          <w:color w:val="FF0000"/>
          <w:sz w:val="36"/>
          <w:szCs w:val="36"/>
        </w:rPr>
      </w:pPr>
    </w:p>
    <w:p>
      <w:pPr>
        <w:spacing w:line="480" w:lineRule="auto"/>
        <w:ind w:firstLine="0"/>
        <w:jc w:val="center"/>
        <w:rPr>
          <w:rFonts w:ascii="黑体" w:hAnsi="宋体" w:eastAsia="黑体"/>
          <w:color w:val="FF0000"/>
          <w:sz w:val="36"/>
          <w:szCs w:val="36"/>
        </w:rPr>
        <w:sectPr>
          <w:headerReference r:id="rId5" w:type="default"/>
          <w:footerReference r:id="rId6" w:type="default"/>
          <w:footerReference r:id="rId7" w:type="even"/>
          <w:pgSz w:w="11907" w:h="16840"/>
          <w:pgMar w:top="1134" w:right="1134" w:bottom="1134" w:left="1134" w:header="851" w:footer="1247" w:gutter="0"/>
          <w:pgNumType w:start="1"/>
          <w:cols w:space="720" w:num="1"/>
          <w:docGrid w:type="linesAndChars" w:linePitch="400" w:charSpace="0"/>
        </w:sectPr>
      </w:pPr>
    </w:p>
    <w:p>
      <w:pPr>
        <w:spacing w:line="480" w:lineRule="auto"/>
        <w:ind w:firstLine="0"/>
        <w:jc w:val="center"/>
        <w:rPr>
          <w:rFonts w:ascii="黑体" w:hAnsi="宋体" w:eastAsia="黑体"/>
          <w:color w:val="FF0000"/>
          <w:sz w:val="36"/>
          <w:szCs w:val="36"/>
        </w:rPr>
      </w:pPr>
    </w:p>
    <w:p>
      <w:pPr>
        <w:snapToGrid/>
        <w:spacing w:line="240" w:lineRule="auto"/>
        <w:ind w:firstLine="0"/>
        <w:jc w:val="center"/>
        <w:rPr>
          <w:rFonts w:ascii="黑体" w:hAnsi="宋体" w:eastAsia="黑体"/>
          <w:sz w:val="21"/>
        </w:rPr>
      </w:pPr>
      <w:r>
        <w:rPr>
          <w:rFonts w:hint="eastAsia" w:ascii="黑体" w:hAnsi="黑体" w:eastAsia="黑体" w:cs="黑体"/>
          <w:sz w:val="32"/>
          <w:szCs w:val="32"/>
        </w:rPr>
        <w:t>目    录</w:t>
      </w:r>
    </w:p>
    <w:p>
      <w:pPr>
        <w:snapToGrid/>
        <w:spacing w:line="240" w:lineRule="auto"/>
        <w:jc w:val="center"/>
        <w:rPr>
          <w:rFonts w:ascii="黑体" w:hAnsi="黑体" w:eastAsia="黑体" w:cs="黑体"/>
          <w:color w:val="FF0000"/>
          <w:sz w:val="32"/>
          <w:szCs w:val="32"/>
        </w:rPr>
      </w:pPr>
    </w:p>
    <w:p>
      <w:pPr>
        <w:pStyle w:val="102"/>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Viner Hand ITC" w:eastAsia="黑体"/>
          <w:sz w:val="24"/>
          <w:szCs w:val="24"/>
        </w:rPr>
        <w:t>3</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Viner Hand ITC" w:eastAsia="黑体"/>
          <w:sz w:val="24"/>
          <w:szCs w:val="24"/>
        </w:rPr>
        <w:t>1</w:t>
      </w:r>
      <w:r>
        <w:rPr>
          <w:rFonts w:hint="eastAsia" w:ascii="Times New Roman" w:hAnsi="Viner Hand ITC" w:eastAsia="黑体"/>
          <w:sz w:val="24"/>
          <w:szCs w:val="24"/>
          <w:lang w:val="en-US" w:eastAsia="zh-CN"/>
        </w:rPr>
        <w:t>6</w:t>
      </w:r>
      <w:bookmarkStart w:id="0" w:name="_GoBack"/>
      <w:bookmarkEnd w:id="0"/>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rPr>
        <w:t>1</w:t>
      </w:r>
      <w:r>
        <w:rPr>
          <w:rFonts w:hint="eastAsia" w:ascii="Times New Roman" w:hAnsi="Times New Roman" w:eastAsia="黑体"/>
          <w:sz w:val="24"/>
          <w:szCs w:val="24"/>
          <w:lang w:val="en-US" w:eastAsia="zh-CN"/>
        </w:rPr>
        <w:t>7</w:t>
      </w:r>
      <w:r>
        <w:rPr>
          <w:rFonts w:ascii="Times New Roman" w:hAnsi="Times New Roman"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九、毕业要求 ………………………………………………………………………………</w:t>
      </w:r>
      <w:r>
        <w:rPr>
          <w:rFonts w:ascii="Times New Roman" w:hAnsi="Viner Hand ITC" w:eastAsia="黑体"/>
          <w:sz w:val="24"/>
          <w:szCs w:val="24"/>
        </w:rPr>
        <w:t>（</w:t>
      </w:r>
      <w:r>
        <w:rPr>
          <w:rFonts w:hint="eastAsia" w:ascii="Times New Roman" w:hAnsi="Viner Hand ITC" w:eastAsia="黑体"/>
          <w:sz w:val="24"/>
          <w:szCs w:val="24"/>
        </w:rPr>
        <w:t>21</w:t>
      </w:r>
      <w:r>
        <w:rPr>
          <w:rFonts w:ascii="Times New Roman" w:hAnsi="Viner Hand ITC" w:eastAsia="黑体"/>
          <w:sz w:val="24"/>
          <w:szCs w:val="24"/>
        </w:rPr>
        <w:t>）</w:t>
      </w:r>
    </w:p>
    <w:p>
      <w:pPr>
        <w:pStyle w:val="84"/>
        <w:spacing w:before="800" w:beforeLines="200" w:after="800" w:afterLines="200"/>
        <w:rPr>
          <w:u w:val="none"/>
        </w:rPr>
      </w:pPr>
    </w:p>
    <w:p>
      <w:pPr>
        <w:pStyle w:val="84"/>
        <w:spacing w:before="800" w:beforeLines="200" w:after="800" w:afterLines="200"/>
        <w:rPr>
          <w:color w:val="FF0000"/>
          <w:u w:val="none"/>
        </w:rPr>
      </w:pPr>
    </w:p>
    <w:p>
      <w:pPr>
        <w:pStyle w:val="84"/>
        <w:spacing w:before="800" w:beforeLines="200" w:after="800" w:afterLines="200"/>
        <w:rPr>
          <w:color w:val="FF0000"/>
          <w:u w:val="none"/>
        </w:rPr>
      </w:pPr>
    </w:p>
    <w:p>
      <w:pPr>
        <w:pStyle w:val="102"/>
        <w:spacing w:before="0" w:beforeLines="0" w:after="0" w:afterLines="0" w:line="700" w:lineRule="exact"/>
        <w:ind w:firstLine="0"/>
        <w:jc w:val="center"/>
        <w:rPr>
          <w:rFonts w:ascii="华文中宋" w:hAnsi="华文中宋" w:eastAsia="华文中宋"/>
          <w:sz w:val="44"/>
          <w:szCs w:val="44"/>
        </w:rPr>
        <w:sectPr>
          <w:footerReference r:id="rId8" w:type="default"/>
          <w:footerReference r:id="rId9" w:type="even"/>
          <w:pgSz w:w="11907" w:h="16840"/>
          <w:pgMar w:top="1134" w:right="1134" w:bottom="1134" w:left="1134" w:header="851" w:footer="1247" w:gutter="0"/>
          <w:pgNumType w:start="1"/>
          <w:cols w:space="720" w:num="1"/>
          <w:docGrid w:type="linesAndChars" w:linePitch="400" w:charSpace="0"/>
        </w:sectPr>
      </w:pPr>
    </w:p>
    <w:p>
      <w:pPr>
        <w:pStyle w:val="102"/>
        <w:spacing w:before="0" w:beforeLines="0" w:after="0" w:afterLines="0" w:line="700" w:lineRule="exact"/>
        <w:ind w:firstLine="0"/>
        <w:jc w:val="center"/>
        <w:rPr>
          <w:rFonts w:ascii="华文中宋" w:hAnsi="华文中宋" w:eastAsia="华文中宋"/>
          <w:sz w:val="44"/>
          <w:szCs w:val="44"/>
        </w:rPr>
      </w:pPr>
      <w:r>
        <w:rPr>
          <w:rFonts w:hint="eastAsia" w:ascii="华文中宋" w:hAnsi="华文中宋" w:eastAsia="华文中宋"/>
          <w:sz w:val="44"/>
          <w:szCs w:val="44"/>
        </w:rPr>
        <w:t>河南省驻马店财经学校</w:t>
      </w:r>
    </w:p>
    <w:p>
      <w:pPr>
        <w:pStyle w:val="102"/>
        <w:spacing w:before="0" w:beforeLines="0" w:after="0" w:afterLines="0" w:line="700" w:lineRule="exact"/>
        <w:ind w:firstLine="0"/>
        <w:jc w:val="center"/>
        <w:rPr>
          <w:rFonts w:ascii="华文中宋" w:hAnsi="华文中宋" w:eastAsia="华文中宋"/>
          <w:sz w:val="44"/>
          <w:szCs w:val="44"/>
        </w:rPr>
      </w:pPr>
      <w:r>
        <w:rPr>
          <w:rFonts w:hint="eastAsia" w:ascii="华文中宋" w:hAnsi="华文中宋" w:eastAsia="华文中宋"/>
          <w:sz w:val="44"/>
          <w:szCs w:val="44"/>
        </w:rPr>
        <w:t>幼儿保育专业人才培养方案</w:t>
      </w:r>
    </w:p>
    <w:p>
      <w:pPr>
        <w:pStyle w:val="102"/>
        <w:spacing w:before="0" w:beforeLines="0" w:after="0" w:afterLines="0" w:line="240" w:lineRule="auto"/>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专业名称：幼儿保育</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w:t>
      </w:r>
      <w:r>
        <w:rPr>
          <w:rFonts w:hint="eastAsia" w:ascii="宋体" w:hAnsi="宋体" w:cs="宋体"/>
          <w:sz w:val="28"/>
          <w:szCs w:val="28"/>
        </w:rPr>
        <w:t>770101</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w:t>
      </w:r>
      <w:r>
        <w:rPr>
          <w:rFonts w:hint="eastAsia" w:ascii="仿宋" w:hAnsi="仿宋" w:eastAsia="仿宋" w:cs="仿宋"/>
          <w:sz w:val="30"/>
          <w:szCs w:val="30"/>
          <w:lang w:eastAsia="zh-CN"/>
        </w:rPr>
        <w:t>：</w:t>
      </w:r>
      <w:r>
        <w:rPr>
          <w:rFonts w:hint="eastAsia" w:ascii="仿宋" w:hAnsi="仿宋" w:eastAsia="仿宋" w:cs="仿宋"/>
          <w:sz w:val="30"/>
          <w:szCs w:val="30"/>
        </w:rPr>
        <w:t>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pStyle w:val="129"/>
        <w:shd w:val="clear" w:color="auto" w:fill="auto"/>
        <w:spacing w:line="180" w:lineRule="exact"/>
        <w:ind w:right="120"/>
        <w:jc w:val="center"/>
        <w:rPr>
          <w:rFonts w:ascii="仿宋" w:hAnsi="仿宋" w:eastAsia="仿宋" w:cs="Times New Roman"/>
          <w:b w:val="0"/>
          <w:bCs w:val="0"/>
          <w:spacing w:val="0"/>
          <w:sz w:val="24"/>
          <w:szCs w:val="24"/>
          <w:lang w:val="zh-TW" w:bidi="zh-TW"/>
        </w:rPr>
      </w:pP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1993"/>
        <w:gridCol w:w="5200"/>
        <w:gridCol w:w="1795"/>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序号</w:t>
            </w:r>
          </w:p>
        </w:tc>
        <w:tc>
          <w:tcPr>
            <w:tcW w:w="1993"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专业化方向</w:t>
            </w:r>
          </w:p>
        </w:tc>
        <w:tc>
          <w:tcPr>
            <w:tcW w:w="5200"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eastAsia="zh-TW" w:bidi="zh-TW"/>
              </w:rPr>
            </w:pPr>
            <w:r>
              <w:rPr>
                <w:rFonts w:hint="eastAsia" w:ascii="黑体" w:hAnsi="黑体" w:eastAsia="黑体" w:cs="黑体"/>
                <w:spacing w:val="0"/>
                <w:sz w:val="24"/>
                <w:szCs w:val="24"/>
              </w:rPr>
              <w:t>就业岗位</w:t>
            </w:r>
          </w:p>
        </w:tc>
        <w:tc>
          <w:tcPr>
            <w:tcW w:w="1795"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799" w:hRule="exact"/>
        </w:trPr>
        <w:tc>
          <w:tcPr>
            <w:tcW w:w="670" w:type="dxa"/>
            <w:tcBorders>
              <w:top w:val="single" w:color="auto" w:sz="4" w:space="0"/>
              <w:left w:val="single" w:color="auto" w:sz="4" w:space="0"/>
            </w:tcBorders>
            <w:shd w:val="clear" w:color="auto" w:fill="FFFFFF"/>
            <w:vAlign w:val="center"/>
          </w:tcPr>
          <w:p>
            <w:pPr>
              <w:pStyle w:val="127"/>
              <w:shd w:val="clear" w:color="auto" w:fill="auto"/>
              <w:spacing w:before="0" w:after="0" w:line="190" w:lineRule="exact"/>
              <w:ind w:left="260"/>
              <w:jc w:val="both"/>
              <w:rPr>
                <w:rFonts w:ascii="仿宋" w:hAnsi="仿宋" w:eastAsia="仿宋" w:cs="仿宋"/>
                <w:spacing w:val="0"/>
                <w:sz w:val="24"/>
                <w:szCs w:val="24"/>
                <w:lang w:val="zh-TW" w:eastAsia="zh-TW" w:bidi="zh-TW"/>
              </w:rPr>
            </w:pPr>
            <w:r>
              <w:rPr>
                <w:rFonts w:hint="eastAsia" w:ascii="仿宋" w:hAnsi="仿宋" w:eastAsia="仿宋" w:cs="仿宋"/>
                <w:spacing w:val="0"/>
                <w:sz w:val="24"/>
                <w:szCs w:val="24"/>
              </w:rPr>
              <w:t>1</w:t>
            </w:r>
          </w:p>
        </w:tc>
        <w:tc>
          <w:tcPr>
            <w:tcW w:w="1993"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spacing w:val="0"/>
                <w:sz w:val="24"/>
                <w:szCs w:val="24"/>
                <w:lang w:val="zh-TW" w:eastAsia="zh-TW" w:bidi="zh-TW"/>
              </w:rPr>
            </w:pPr>
            <w:r>
              <w:rPr>
                <w:rFonts w:hint="eastAsia" w:ascii="仿宋" w:hAnsi="仿宋" w:eastAsia="仿宋" w:cs="仿宋"/>
                <w:spacing w:val="0"/>
                <w:sz w:val="24"/>
                <w:szCs w:val="24"/>
                <w:lang w:val="zh-TW" w:eastAsia="zh-TW" w:bidi="zh-TW"/>
              </w:rPr>
              <w:t>早期教育</w:t>
            </w:r>
          </w:p>
          <w:p>
            <w:pPr>
              <w:pStyle w:val="127"/>
              <w:shd w:val="clear" w:color="auto" w:fill="auto"/>
              <w:spacing w:before="0" w:after="0" w:line="240" w:lineRule="auto"/>
              <w:jc w:val="center"/>
              <w:rPr>
                <w:rFonts w:ascii="仿宋" w:hAnsi="仿宋" w:eastAsia="仿宋" w:cs="仿宋"/>
                <w:spacing w:val="0"/>
                <w:sz w:val="24"/>
                <w:szCs w:val="24"/>
                <w:highlight w:val="red"/>
                <w:lang w:val="zh-TW" w:eastAsia="zh-TW" w:bidi="zh-TW"/>
              </w:rPr>
            </w:pPr>
            <w:r>
              <w:rPr>
                <w:rFonts w:hint="eastAsia" w:ascii="仿宋" w:hAnsi="仿宋" w:eastAsia="仿宋" w:cs="仿宋"/>
                <w:spacing w:val="0"/>
                <w:sz w:val="24"/>
                <w:szCs w:val="24"/>
                <w:lang w:val="zh-TW" w:eastAsia="zh-TW" w:bidi="zh-TW"/>
              </w:rPr>
              <w:t>学前教育</w:t>
            </w:r>
          </w:p>
        </w:tc>
        <w:tc>
          <w:tcPr>
            <w:tcW w:w="5200"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left"/>
              <w:rPr>
                <w:rFonts w:ascii="仿宋" w:hAnsi="仿宋" w:eastAsia="仿宋" w:cs="仿宋"/>
                <w:spacing w:val="0"/>
                <w:sz w:val="24"/>
                <w:szCs w:val="24"/>
                <w:lang w:bidi="zh-TW"/>
              </w:rPr>
            </w:pPr>
            <w:r>
              <w:rPr>
                <w:rFonts w:hint="eastAsia" w:ascii="仿宋" w:hAnsi="仿宋" w:eastAsia="仿宋" w:cs="仿宋"/>
                <w:spacing w:val="0"/>
                <w:sz w:val="24"/>
                <w:szCs w:val="24"/>
                <w:lang w:bidi="zh-TW"/>
              </w:rPr>
              <w:t>适合从事幼儿保育教师，各种托育机构、幼儿园、早教机构、师资培训机构的保育、教学、管理等工作岗位，也可以参加职教高考考入高职院校继续深造。</w:t>
            </w:r>
          </w:p>
        </w:tc>
        <w:tc>
          <w:tcPr>
            <w:tcW w:w="1795"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spacing w:val="0"/>
                <w:sz w:val="24"/>
                <w:szCs w:val="24"/>
                <w:lang w:val="zh-TW" w:eastAsia="zh-TW" w:bidi="zh-TW"/>
              </w:rPr>
            </w:pPr>
            <w:r>
              <w:rPr>
                <w:rFonts w:hint="eastAsia" w:ascii="仿宋" w:hAnsi="仿宋" w:eastAsia="仿宋" w:cs="仿宋"/>
                <w:spacing w:val="0"/>
                <w:sz w:val="24"/>
                <w:szCs w:val="24"/>
                <w:lang w:val="zh-TW" w:bidi="zh-TW"/>
              </w:rPr>
              <w:t>保育师（中级）</w:t>
            </w:r>
          </w:p>
        </w:tc>
      </w:tr>
      <w:tr>
        <w:tblPrEx>
          <w:tblCellMar>
            <w:top w:w="0" w:type="dxa"/>
            <w:left w:w="10" w:type="dxa"/>
            <w:bottom w:w="0" w:type="dxa"/>
            <w:right w:w="10" w:type="dxa"/>
          </w:tblCellMar>
        </w:tblPrEx>
        <w:trPr>
          <w:trHeight w:val="1711"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190" w:lineRule="exact"/>
              <w:ind w:left="260"/>
              <w:jc w:val="both"/>
              <w:rPr>
                <w:rFonts w:ascii="仿宋" w:hAnsi="仿宋" w:eastAsia="仿宋" w:cs="仿宋"/>
                <w:spacing w:val="0"/>
                <w:sz w:val="24"/>
                <w:szCs w:val="24"/>
                <w:lang w:val="zh-TW" w:eastAsia="zh-TW" w:bidi="zh-TW"/>
              </w:rPr>
            </w:pPr>
            <w:r>
              <w:rPr>
                <w:rFonts w:hint="eastAsia" w:ascii="仿宋" w:hAnsi="仿宋" w:eastAsia="仿宋" w:cs="仿宋"/>
                <w:spacing w:val="0"/>
                <w:sz w:val="24"/>
                <w:szCs w:val="24"/>
              </w:rPr>
              <w:t>2</w:t>
            </w:r>
          </w:p>
        </w:tc>
        <w:tc>
          <w:tcPr>
            <w:tcW w:w="1993"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spacing w:val="0"/>
                <w:sz w:val="24"/>
                <w:szCs w:val="24"/>
                <w:lang w:val="zh-TW" w:eastAsia="zh-TW" w:bidi="zh-TW"/>
              </w:rPr>
            </w:pPr>
            <w:r>
              <w:rPr>
                <w:rFonts w:hint="eastAsia" w:ascii="仿宋" w:hAnsi="仿宋" w:eastAsia="仿宋" w:cs="仿宋"/>
                <w:spacing w:val="0"/>
                <w:sz w:val="24"/>
                <w:szCs w:val="24"/>
                <w:lang w:val="zh-TW" w:eastAsia="zh-TW" w:bidi="zh-TW"/>
              </w:rPr>
              <w:t>早期教育</w:t>
            </w:r>
          </w:p>
          <w:p>
            <w:pPr>
              <w:pStyle w:val="127"/>
              <w:shd w:val="clear" w:color="auto" w:fill="auto"/>
              <w:spacing w:before="0" w:after="0" w:line="240" w:lineRule="auto"/>
              <w:jc w:val="center"/>
              <w:rPr>
                <w:rFonts w:ascii="仿宋" w:hAnsi="仿宋" w:eastAsia="仿宋" w:cs="仿宋"/>
                <w:spacing w:val="0"/>
                <w:sz w:val="24"/>
                <w:szCs w:val="24"/>
                <w:highlight w:val="red"/>
                <w:lang w:val="zh-TW" w:eastAsia="zh-TW" w:bidi="zh-TW"/>
              </w:rPr>
            </w:pPr>
            <w:r>
              <w:rPr>
                <w:rFonts w:hint="eastAsia" w:ascii="仿宋" w:hAnsi="仿宋" w:eastAsia="仿宋" w:cs="仿宋"/>
                <w:spacing w:val="0"/>
                <w:sz w:val="24"/>
                <w:szCs w:val="24"/>
                <w:lang w:val="zh-TW" w:eastAsia="zh-TW" w:bidi="zh-TW"/>
              </w:rPr>
              <w:t>学前教育</w:t>
            </w:r>
          </w:p>
        </w:tc>
        <w:tc>
          <w:tcPr>
            <w:tcW w:w="5200"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left"/>
              <w:rPr>
                <w:rFonts w:ascii="仿宋" w:hAnsi="仿宋" w:eastAsia="仿宋" w:cs="仿宋"/>
                <w:spacing w:val="0"/>
                <w:sz w:val="24"/>
                <w:szCs w:val="24"/>
                <w:lang w:val="zh-TW" w:eastAsia="zh-TW" w:bidi="zh-TW"/>
              </w:rPr>
            </w:pPr>
            <w:r>
              <w:rPr>
                <w:rFonts w:hint="eastAsia" w:ascii="仿宋" w:hAnsi="仿宋" w:eastAsia="仿宋" w:cs="仿宋"/>
                <w:spacing w:val="0"/>
                <w:sz w:val="24"/>
                <w:szCs w:val="24"/>
                <w:lang w:bidi="zh-TW"/>
              </w:rPr>
              <w:t>适合从事</w:t>
            </w:r>
            <w:r>
              <w:rPr>
                <w:rFonts w:ascii="仿宋" w:hAnsi="仿宋" w:eastAsia="仿宋" w:cs="仿宋"/>
                <w:spacing w:val="0"/>
                <w:sz w:val="24"/>
                <w:szCs w:val="24"/>
                <w:lang w:val="zh-TW" w:bidi="zh-TW"/>
              </w:rPr>
              <w:t>家政服务公司、母婴护理机构、</w:t>
            </w:r>
            <w:r>
              <w:rPr>
                <w:rFonts w:hint="eastAsia" w:ascii="仿宋" w:hAnsi="仿宋" w:eastAsia="仿宋" w:cs="仿宋"/>
                <w:spacing w:val="0"/>
                <w:sz w:val="24"/>
                <w:szCs w:val="24"/>
                <w:lang w:bidi="zh-TW"/>
              </w:rPr>
              <w:t>早教机构、</w:t>
            </w:r>
            <w:r>
              <w:rPr>
                <w:rFonts w:ascii="仿宋" w:hAnsi="仿宋" w:eastAsia="仿宋" w:cs="仿宋"/>
                <w:spacing w:val="0"/>
                <w:sz w:val="24"/>
                <w:szCs w:val="24"/>
                <w:lang w:val="zh-TW" w:bidi="zh-TW"/>
              </w:rPr>
              <w:t>社区服务中心、幼儿教育机构</w:t>
            </w:r>
            <w:r>
              <w:rPr>
                <w:rFonts w:hint="eastAsia" w:ascii="仿宋" w:hAnsi="仿宋" w:eastAsia="仿宋" w:cs="仿宋"/>
                <w:spacing w:val="0"/>
                <w:sz w:val="24"/>
                <w:szCs w:val="24"/>
                <w:lang w:bidi="zh-TW"/>
              </w:rPr>
              <w:t>的教学与管理工作</w:t>
            </w:r>
            <w:r>
              <w:rPr>
                <w:rFonts w:ascii="仿宋" w:hAnsi="仿宋" w:eastAsia="仿宋" w:cs="仿宋"/>
                <w:spacing w:val="0"/>
                <w:sz w:val="24"/>
                <w:szCs w:val="24"/>
                <w:lang w:val="zh-TW" w:bidi="zh-TW"/>
              </w:rPr>
              <w:t>,</w:t>
            </w:r>
            <w:r>
              <w:rPr>
                <w:rFonts w:hint="eastAsia" w:ascii="仿宋" w:hAnsi="仿宋" w:eastAsia="仿宋" w:cs="仿宋"/>
                <w:spacing w:val="0"/>
                <w:sz w:val="24"/>
                <w:szCs w:val="24"/>
                <w:lang w:bidi="zh-TW"/>
              </w:rPr>
              <w:t>也可以参加职教高考考入高职院校继续深造</w:t>
            </w:r>
            <w:r>
              <w:rPr>
                <w:rFonts w:hint="eastAsia" w:ascii="仿宋" w:hAnsi="仿宋" w:eastAsia="仿宋" w:cs="仿宋"/>
                <w:spacing w:val="0"/>
                <w:sz w:val="24"/>
                <w:szCs w:val="24"/>
                <w:lang w:val="zh-TW" w:bidi="zh-TW"/>
              </w:rPr>
              <w:t>。</w:t>
            </w:r>
          </w:p>
        </w:tc>
        <w:tc>
          <w:tcPr>
            <w:tcW w:w="17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spacing w:val="0"/>
                <w:sz w:val="24"/>
                <w:szCs w:val="24"/>
                <w:lang w:val="zh-TW" w:eastAsia="zh-TW" w:bidi="zh-TW"/>
              </w:rPr>
            </w:pPr>
            <w:r>
              <w:rPr>
                <w:rFonts w:hint="eastAsia" w:ascii="仿宋" w:hAnsi="仿宋" w:eastAsia="仿宋" w:cs="仿宋"/>
                <w:spacing w:val="0"/>
                <w:sz w:val="24"/>
                <w:szCs w:val="24"/>
                <w:lang w:val="zh-TW" w:bidi="zh-TW"/>
              </w:rPr>
              <w:t>育婴员（中级）</w:t>
            </w:r>
          </w:p>
        </w:tc>
      </w:tr>
    </w:tbl>
    <w:p>
      <w:pPr>
        <w:overflowPunct w:val="0"/>
        <w:ind w:firstLine="600" w:firstLineChars="200"/>
        <w:rPr>
          <w:rFonts w:ascii="黑体" w:hAnsi="黑体" w:eastAsia="黑体"/>
          <w:color w:val="FF0000"/>
          <w:sz w:val="30"/>
          <w:szCs w:val="30"/>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培养德智体美劳全面发展，掌握扎实的科学文化基础和幼儿保育等知识，具备幼儿保育、安全健康照护、早期发展支持等能力，具有教育情怀和信息素养，能够从事托幼园所幼儿保育、幼儿照护服务等工作的技术技能人才。同时，为高职院校学前教育专业、</w:t>
      </w:r>
      <w:r>
        <w:rPr>
          <w:rFonts w:hint="eastAsia" w:ascii="仿宋" w:hAnsi="仿宋" w:eastAsia="仿宋" w:cs="仿宋"/>
          <w:sz w:val="30"/>
          <w:szCs w:val="30"/>
          <w:lang w:eastAsia="zh-CN"/>
        </w:rPr>
        <w:t>早期教育</w:t>
      </w:r>
      <w:r>
        <w:rPr>
          <w:rFonts w:hint="eastAsia" w:ascii="仿宋" w:hAnsi="仿宋" w:eastAsia="仿宋" w:cs="仿宋"/>
          <w:sz w:val="30"/>
          <w:szCs w:val="30"/>
        </w:rPr>
        <w:t>专业和各大专院校音乐教育、美术教育等专业输送人才。</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（二）专业能力培养规格</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1.具有良好的职业道德、行为规范、社会责任感和担当精神，以及将德育贯穿于幼儿一日生活的能力；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2.具有幼儿营养、喂养和健康、安全照护等方面的技能，以及科学组织和独立承担幼儿一日生活各环节保育工作的能力；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3.具有运用新材料、新技术的玩教具支持幼儿早期学习与发展，以及创设幼儿生活环境和支持性学习环境的能力；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4.具有预防与规范处理幼儿常见病症、意外伤害及其他突发事件的技能，以及开展幼儿安全、健康照护的能力；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5.具有观察、识别、记录幼儿的言行和情绪表达的基本技能，以及观察、分析幼儿发展状况的能力，具备家园社合作共育能力；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6.具有一定的心理调适能力、良好的语言表达能力和沟通合作能力；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7.掌握与本专业从事职业活动相关的国家法律、行业规定，具备环境保护、安全防护等相关知识与技能；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8.具有适应育幼领域数字化发展需求的基本数字技能和信息技术能力；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9.具有终身学习和可持续发展的能力。 </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本专业课程设置分为公共基础课、专业基础课和核心专业课。</w:t>
      </w:r>
    </w:p>
    <w:p>
      <w:pPr>
        <w:spacing w:line="560" w:lineRule="exact"/>
        <w:ind w:firstLine="600" w:firstLineChars="200"/>
        <w:rPr>
          <w:rFonts w:ascii="仿宋" w:hAnsi="仿宋" w:eastAsia="仿宋" w:cs="仿宋"/>
          <w:color w:val="FF0000"/>
          <w:sz w:val="30"/>
          <w:szCs w:val="30"/>
        </w:rPr>
      </w:pPr>
      <w:r>
        <w:rPr>
          <w:rFonts w:hint="eastAsia" w:ascii="仿宋" w:hAnsi="仿宋" w:eastAsia="仿宋" w:cs="仿宋"/>
          <w:sz w:val="30"/>
          <w:szCs w:val="30"/>
        </w:rPr>
        <w:t>公共基础课包括国防教育、劳动教育、</w:t>
      </w:r>
      <w:r>
        <w:rPr>
          <w:rFonts w:hint="eastAsia" w:ascii="仿宋" w:hAnsi="仿宋" w:eastAsia="仿宋" w:cs="仿宋"/>
          <w:sz w:val="30"/>
          <w:szCs w:val="30"/>
          <w:lang w:eastAsia="zh-CN"/>
        </w:rPr>
        <w:t>职业生涯规划</w:t>
      </w:r>
      <w:r>
        <w:rPr>
          <w:rFonts w:hint="eastAsia" w:ascii="仿宋" w:hAnsi="仿宋" w:eastAsia="仿宋" w:cs="仿宋"/>
          <w:sz w:val="30"/>
          <w:szCs w:val="30"/>
        </w:rPr>
        <w:t>、职业道德与法</w:t>
      </w:r>
      <w:r>
        <w:rPr>
          <w:rFonts w:hint="eastAsia" w:ascii="仿宋" w:hAnsi="仿宋" w:eastAsia="仿宋" w:cs="仿宋"/>
          <w:sz w:val="30"/>
          <w:szCs w:val="30"/>
          <w:lang w:eastAsia="zh-CN"/>
        </w:rPr>
        <w:t>律</w:t>
      </w:r>
      <w:r>
        <w:rPr>
          <w:rFonts w:hint="eastAsia" w:ascii="仿宋" w:hAnsi="仿宋" w:eastAsia="仿宋" w:cs="仿宋"/>
          <w:sz w:val="30"/>
          <w:szCs w:val="30"/>
        </w:rPr>
        <w:t>、</w:t>
      </w:r>
      <w:r>
        <w:rPr>
          <w:rFonts w:hint="eastAsia" w:ascii="仿宋" w:hAnsi="仿宋" w:eastAsia="仿宋" w:cs="仿宋"/>
          <w:sz w:val="30"/>
          <w:szCs w:val="30"/>
          <w:lang w:eastAsia="zh-CN"/>
        </w:rPr>
        <w:t>经济政治与社会</w:t>
      </w:r>
      <w:r>
        <w:rPr>
          <w:rFonts w:hint="eastAsia" w:ascii="仿宋" w:hAnsi="仿宋" w:eastAsia="仿宋" w:cs="仿宋"/>
          <w:sz w:val="30"/>
          <w:szCs w:val="30"/>
        </w:rPr>
        <w:t>、哲学与人生、语文、应用文、数学、英语、体育与健康、历史、信息技术、礼仪、书法、音乐、键盘乐器演奏基础、美术等。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w:t>
      </w:r>
      <w:r>
        <w:rPr>
          <w:rFonts w:hint="eastAsia" w:ascii="仿宋" w:hAnsi="仿宋" w:eastAsia="仿宋" w:cs="仿宋"/>
          <w:sz w:val="30"/>
          <w:szCs w:val="30"/>
          <w:lang w:eastAsia="zh-CN"/>
        </w:rPr>
        <w:t>技能</w:t>
      </w:r>
      <w:r>
        <w:rPr>
          <w:rFonts w:hint="eastAsia" w:ascii="仿宋" w:hAnsi="仿宋" w:eastAsia="仿宋" w:cs="仿宋"/>
          <w:sz w:val="30"/>
          <w:szCs w:val="30"/>
        </w:rPr>
        <w:t>课包括专业基础课和核心专业课。</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注重培养劳动精神和提高职业技能水平。围绕专业人才培养，开展校企合作、产教融合、实习实训、技能竞赛等活动，开展劳动精神、劳模精神、工匠精神等专题教育，让学生积极投身提高专业技能、增强专业意识，掌握至少一项专业技能，形成劳动不分贵贱、行行出状元的劳动观念，提升精益求精的工匠精神，养成爱岗敬业的劳动态度。</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3.职业生涯规划</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职业生涯规划是中等职业学校学生必修的一门德育课，旨在对学生进行职业生涯教育和职业理想教育，使学生掌握职业生涯规划的基础知识和常用方法，树立正确的职业理想和职业观、择业观、创业观及成才观，提高职业生涯规划的能力，增强提高职业素质和职业能力的自觉性，做好适应社会、融入社会和就业、创业的准备。</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4.职业道德与法律</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职业道德与法律是中等职业学校学生必修的一门德育课程，旨在对学生进行道德教育和法制教育，帮助学生了解职业道德的作用和基本规范，陶冶道德情操，增强职业道德意识，养成职业道德行为习惯；指导学生掌握与日常生活和职业活动密切相关的法律常识，树立法治观念，增强法律意识，成为懂法守法、用法的公民。</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5.经济政治与社会</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经济政治与社会是中等职业学校学生必修的一门德育课，旨在对学生进行马克思主义相关基本观点教育和我国社会主义经济、政治、文化与社会建设常识教育，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6.哲学与人生</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JM" w:eastAsia="zh-CN" w:bidi="ar"/>
        </w:rPr>
      </w:pPr>
      <w:r>
        <w:rPr>
          <w:rFonts w:hint="eastAsia" w:ascii="仿宋" w:hAnsi="仿宋" w:eastAsia="仿宋" w:cs="仿宋"/>
          <w:snapToGrid w:val="0"/>
          <w:color w:val="auto"/>
          <w:kern w:val="0"/>
          <w:sz w:val="30"/>
          <w:szCs w:val="30"/>
          <w:highlight w:val="none"/>
          <w:lang w:val="en-US" w:eastAsia="zh-CN" w:bidi="ar"/>
        </w:rPr>
        <w:t>哲学与人生是中等职业学校学生必修的一门德育课程，旨在对学生进行马克思主义哲学基本观点和方法及如何做人的教育，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任务是培养学生热爱祖国语言文字的思想感情，使学生进一步提高正确理解与运用祖国语言文字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养成练好的个性、健全的人格，促进职业生涯的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8.应用文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作为中职语文学科的重要课程，拟根据本专业学生的具体情况，以“基于现代职业岗位，工学结合”的人才培养理念，在建构学习方式和行动导向教学理论的指导下，创设不同的写作实践情境，保证教学内容与学生就业实际紧密结合，使基本文化素养和一般能力的培养与职业能力的培养相结合，从而使学生熟练掌握从事本专业工作所需要的应用文体，初步形成熟练写作符合要求的规范的应用文的能力，为其职业生涯发展奠定基础，从而适应工作岗位的各项要求，提升就业和创业的能力，走上可持续发展的道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提升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12.历史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13.信息技术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14.礼仪</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的礼仪是一门重要的公共课程，主要培养学生的通用职业能力。根据学生的职业化的特点，将礼仪与专业有机结合，提高学生的综合素质。重视理论与实际的结合，通过切实有效的礼仪教育，培养学生理解宽容、谦逊诚恳的待人态度，培养学生是非清楚、推心置腹、与人为善、助人为乐的做人品行，培养学生庄重大方、热情友好、谈吐文雅、讲究礼貌的行为举止。在学生掌握根本理论的同时，特别强调动手能力与技能训练的培养，教学内容具有针对性、指导性、任务性，突出中职教育应用性的特点。</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15.书法</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及性质属于艺术门类的知识课，同时又具有工具课的特点。作为知识课，教学目的是通过该课的学习，使学生了解书法艺术的性质、特点，了解书法历史概况，了解主要书体的艺术特点和写作技法，掌握书法美学的基础理论，鉴赏书法作品的一般原则和方法，以培养感受书法美的敏感，提高书法审美水平；作为工具课，为来到幼儿园工作打好基础。</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16.音乐</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可为幼儿保育专业的学生全面接受音乐教育、对学生的专业学习以及音乐实践课学习创造坚实的后盾。它系统讲述了音的高低、音的长短、五线谱常用记号等基础理论知识，也让学生学会典型的节奏及节奏型，培养视唱能力，掌握声乐基础知识和歌唱的技能技巧，了解和熟悉幼儿歌曲的一般特点，对不同风格的幼儿歌曲有基本的了解，能根据需要进行幼儿歌曲表演唱，积极主动地开展幼儿歌曲表演的创编活动。培养学生对音乐的感受力、理解力、表现力。渗透思想教育及美育，陶冶学生情操，加强学生从事幼教工作的观念，提高为社会服务的意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17</w:t>
      </w:r>
      <w:r>
        <w:rPr>
          <w:rFonts w:hint="eastAsia" w:ascii="仿宋" w:hAnsi="仿宋" w:eastAsia="仿宋" w:cs="仿宋"/>
          <w:sz w:val="30"/>
          <w:szCs w:val="30"/>
          <w:lang w:val="en-US" w:eastAsia="zh-CN"/>
        </w:rPr>
        <w:t>.</w:t>
      </w:r>
      <w:r>
        <w:rPr>
          <w:rFonts w:hint="eastAsia" w:ascii="仿宋" w:hAnsi="仿宋" w:eastAsia="仿宋" w:cs="仿宋"/>
          <w:sz w:val="30"/>
          <w:szCs w:val="30"/>
        </w:rPr>
        <w:t>键盘乐器演奏基础</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是中职学前教育的专业技能课程。本课程包含钢琴，电子钢琴基础阶段的学习和基本演奏技能技巧的掌握、儿歌配弹技能的训练内容。指导学生掌握钢琴、电子钢琴演奏的基础知识和基本演奏技巧，学习相关乐理知识并用于儿歌配奏，能自主为儿歌编配和弦、伴奏音型，达到自弹自唱的目的，培养学生对音乐的感知、理解和表现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18.美术</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遵循学生的认知规律，围绕幼儿教师的美术技能要求培养学生。本课程包括绘画基础知识与技能(包括学习素描、色彩)，泥塑、纸艺、布艺、废旧材料综合应用、教玩具制作与幼儿园环境创设等学习内容。使所学到的美术知识与技能在以后所从事的幼儿教育中，发挥起一定的作用。掌握基础绘画技能，能够使学生在制作艺术作品的过程中，以及在欣赏中外经典艺术的作品时，陶冶审美情操，培养学生审美情操，提高学生的生活品位，形成良好的职业素养。</w:t>
      </w:r>
    </w:p>
    <w:p>
      <w:pPr>
        <w:spacing w:line="480" w:lineRule="exact"/>
        <w:ind w:firstLine="560" w:firstLineChars="200"/>
        <w:jc w:val="center"/>
        <w:rPr>
          <w:b/>
          <w:sz w:val="28"/>
          <w:szCs w:val="28"/>
        </w:rPr>
      </w:pPr>
      <w:r>
        <w:rPr>
          <w:rFonts w:hint="eastAsia"/>
          <w:b/>
          <w:sz w:val="28"/>
          <w:szCs w:val="28"/>
        </w:rPr>
        <w:t>公共基础课程设置及学时分配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900"/>
        <w:gridCol w:w="5955"/>
        <w:gridCol w:w="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eastAsia="黑体"/>
                <w:sz w:val="24"/>
                <w:szCs w:val="24"/>
              </w:rPr>
            </w:pPr>
            <w:r>
              <w:rPr>
                <w:rFonts w:hAnsi="黑体" w:eastAsia="黑体"/>
                <w:sz w:val="24"/>
                <w:szCs w:val="24"/>
              </w:rPr>
              <w:t>序号</w:t>
            </w:r>
          </w:p>
        </w:tc>
        <w:tc>
          <w:tcPr>
            <w:tcW w:w="1900" w:type="dxa"/>
            <w:vAlign w:val="center"/>
          </w:tcPr>
          <w:p>
            <w:pPr>
              <w:pStyle w:val="63"/>
              <w:spacing w:line="300" w:lineRule="atLeast"/>
              <w:jc w:val="center"/>
              <w:rPr>
                <w:rFonts w:eastAsia="黑体"/>
                <w:sz w:val="24"/>
                <w:szCs w:val="24"/>
              </w:rPr>
            </w:pPr>
            <w:r>
              <w:rPr>
                <w:rFonts w:hAnsi="黑体" w:eastAsia="黑体"/>
                <w:sz w:val="24"/>
                <w:szCs w:val="24"/>
              </w:rPr>
              <w:t>课程名称</w:t>
            </w:r>
          </w:p>
        </w:tc>
        <w:tc>
          <w:tcPr>
            <w:tcW w:w="5955" w:type="dxa"/>
            <w:vAlign w:val="center"/>
          </w:tcPr>
          <w:p>
            <w:pPr>
              <w:pStyle w:val="63"/>
              <w:spacing w:line="300" w:lineRule="atLeast"/>
              <w:jc w:val="center"/>
              <w:rPr>
                <w:rFonts w:eastAsia="黑体"/>
                <w:sz w:val="24"/>
                <w:szCs w:val="24"/>
              </w:rPr>
            </w:pPr>
            <w:r>
              <w:rPr>
                <w:rFonts w:hAnsi="黑体" w:eastAsia="黑体"/>
                <w:sz w:val="24"/>
                <w:szCs w:val="24"/>
              </w:rPr>
              <w:t>主要教学内容和要求</w:t>
            </w:r>
          </w:p>
        </w:tc>
        <w:tc>
          <w:tcPr>
            <w:tcW w:w="993" w:type="dxa"/>
            <w:vAlign w:val="center"/>
          </w:tcPr>
          <w:p>
            <w:pPr>
              <w:pStyle w:val="63"/>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w:t>
            </w:r>
          </w:p>
        </w:tc>
        <w:tc>
          <w:tcPr>
            <w:tcW w:w="1900" w:type="dxa"/>
            <w:vAlign w:val="center"/>
          </w:tcPr>
          <w:p>
            <w:pPr>
              <w:pStyle w:val="63"/>
              <w:spacing w:line="300" w:lineRule="atLeast"/>
              <w:rPr>
                <w:rFonts w:ascii="宋体" w:hAnsi="宋体" w:cs="宋体"/>
                <w:sz w:val="21"/>
                <w:szCs w:val="21"/>
              </w:rPr>
            </w:pPr>
            <w:r>
              <w:rPr>
                <w:rFonts w:hint="eastAsia" w:ascii="宋体" w:hAnsi="宋体" w:cs="宋体"/>
                <w:sz w:val="21"/>
                <w:szCs w:val="21"/>
              </w:rPr>
              <w:t>国防教育</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依据《中华人民共和国国防教育法》开设，并与专业实际和行业发展密切结合。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2</w:t>
            </w:r>
          </w:p>
        </w:tc>
        <w:tc>
          <w:tcPr>
            <w:tcW w:w="1900" w:type="dxa"/>
            <w:vAlign w:val="center"/>
          </w:tcPr>
          <w:p>
            <w:pPr>
              <w:pStyle w:val="63"/>
              <w:spacing w:line="300" w:lineRule="atLeast"/>
              <w:rPr>
                <w:rFonts w:ascii="宋体" w:hAnsi="宋体" w:cs="宋体"/>
                <w:sz w:val="21"/>
                <w:szCs w:val="21"/>
              </w:rPr>
            </w:pPr>
            <w:r>
              <w:rPr>
                <w:rFonts w:hint="eastAsia" w:ascii="宋体" w:hAnsi="宋体" w:cs="宋体"/>
                <w:sz w:val="21"/>
                <w:szCs w:val="21"/>
              </w:rPr>
              <w:t>劳动教育</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w:t>
            </w:r>
            <w:r>
              <w:rPr>
                <w:rFonts w:ascii="宋体" w:hAnsi="宋体" w:cs="宋体"/>
                <w:iCs/>
                <w:sz w:val="21"/>
                <w:szCs w:val="21"/>
              </w:rPr>
              <w:t>劳动教育的</w:t>
            </w:r>
            <w:r>
              <w:rPr>
                <w:rFonts w:ascii="宋体" w:hAnsi="宋体" w:cs="宋体"/>
                <w:sz w:val="21"/>
                <w:szCs w:val="21"/>
              </w:rPr>
              <w:t>意见</w:t>
            </w:r>
            <w:r>
              <w:rPr>
                <w:rFonts w:hint="eastAsia" w:ascii="宋体" w:hAnsi="宋体" w:cs="宋体"/>
                <w:sz w:val="21"/>
                <w:szCs w:val="21"/>
              </w:rPr>
              <w:t>》开设，并与专业实际和行业发展密切结合。</w:t>
            </w:r>
          </w:p>
        </w:tc>
        <w:tc>
          <w:tcPr>
            <w:tcW w:w="993" w:type="dxa"/>
            <w:vAlign w:val="center"/>
          </w:tcPr>
          <w:p>
            <w:pPr>
              <w:pStyle w:val="63"/>
              <w:spacing w:line="300" w:lineRule="atLeast"/>
              <w:jc w:val="center"/>
              <w:rPr>
                <w:rFonts w:hint="eastAsia" w:ascii="宋体" w:hAnsi="宋体" w:eastAsia="宋体" w:cs="宋体"/>
                <w:sz w:val="21"/>
                <w:szCs w:val="21"/>
                <w:lang w:val="en-US" w:eastAsia="zh-CN"/>
              </w:rPr>
            </w:pPr>
            <w:r>
              <w:rPr>
                <w:rFonts w:hint="eastAsia" w:ascii="宋体" w:hAnsi="宋体" w:cs="宋体"/>
                <w:sz w:val="21"/>
                <w:szCs w:val="21"/>
              </w:rPr>
              <w:t>4</w:t>
            </w:r>
            <w:r>
              <w:rPr>
                <w:rFonts w:hint="eastAsia" w:ascii="宋体" w:hAnsi="宋体" w:cs="宋体"/>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3</w:t>
            </w:r>
          </w:p>
        </w:tc>
        <w:tc>
          <w:tcPr>
            <w:tcW w:w="1900" w:type="dxa"/>
            <w:vAlign w:val="center"/>
          </w:tcPr>
          <w:p>
            <w:pPr>
              <w:pStyle w:val="63"/>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职业生涯规划</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w:t>
            </w:r>
          </w:p>
        </w:tc>
        <w:tc>
          <w:tcPr>
            <w:tcW w:w="1900" w:type="dxa"/>
            <w:vAlign w:val="center"/>
          </w:tcPr>
          <w:p>
            <w:pPr>
              <w:pStyle w:val="63"/>
              <w:spacing w:line="300" w:lineRule="atLeast"/>
              <w:rPr>
                <w:rFonts w:hint="eastAsia" w:ascii="宋体" w:hAnsi="宋体" w:eastAsia="宋体" w:cs="宋体"/>
                <w:sz w:val="21"/>
                <w:szCs w:val="21"/>
                <w:lang w:eastAsia="zh-CN"/>
              </w:rPr>
            </w:pPr>
            <w:r>
              <w:rPr>
                <w:rFonts w:hint="eastAsia" w:ascii="宋体" w:hAnsi="宋体" w:cs="宋体"/>
                <w:sz w:val="21"/>
                <w:szCs w:val="21"/>
              </w:rPr>
              <w:t>职业道德与法</w:t>
            </w:r>
            <w:r>
              <w:rPr>
                <w:rFonts w:hint="eastAsia" w:ascii="宋体" w:hAnsi="宋体" w:cs="宋体"/>
                <w:sz w:val="21"/>
                <w:szCs w:val="21"/>
                <w:lang w:eastAsia="zh-CN"/>
              </w:rPr>
              <w:t>律</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5</w:t>
            </w:r>
          </w:p>
        </w:tc>
        <w:tc>
          <w:tcPr>
            <w:tcW w:w="1900" w:type="dxa"/>
            <w:vAlign w:val="center"/>
          </w:tcPr>
          <w:p>
            <w:pPr>
              <w:pStyle w:val="63"/>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经济政治与社会</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6</w:t>
            </w:r>
          </w:p>
        </w:tc>
        <w:tc>
          <w:tcPr>
            <w:tcW w:w="1900" w:type="dxa"/>
            <w:vAlign w:val="center"/>
          </w:tcPr>
          <w:p>
            <w:pPr>
              <w:pStyle w:val="63"/>
              <w:spacing w:line="300" w:lineRule="atLeast"/>
              <w:rPr>
                <w:rFonts w:ascii="宋体" w:hAnsi="宋体" w:cs="宋体"/>
                <w:sz w:val="21"/>
                <w:szCs w:val="21"/>
              </w:rPr>
            </w:pPr>
            <w:r>
              <w:rPr>
                <w:rFonts w:hint="eastAsia" w:ascii="宋体" w:hAnsi="宋体" w:cs="宋体"/>
                <w:sz w:val="21"/>
                <w:szCs w:val="21"/>
              </w:rPr>
              <w:t>哲学与人生</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7</w:t>
            </w:r>
          </w:p>
        </w:tc>
        <w:tc>
          <w:tcPr>
            <w:tcW w:w="1900" w:type="dxa"/>
            <w:vAlign w:val="center"/>
          </w:tcPr>
          <w:p>
            <w:pPr>
              <w:pStyle w:val="63"/>
              <w:spacing w:line="300" w:lineRule="atLeast"/>
              <w:rPr>
                <w:rFonts w:ascii="宋体" w:hAnsi="宋体" w:cs="宋体"/>
                <w:sz w:val="21"/>
                <w:szCs w:val="21"/>
              </w:rPr>
            </w:pPr>
            <w:r>
              <w:rPr>
                <w:rFonts w:hint="eastAsia" w:ascii="宋体" w:hAnsi="宋体" w:cs="宋体"/>
                <w:sz w:val="21"/>
                <w:szCs w:val="21"/>
              </w:rPr>
              <w:t>语文</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8</w:t>
            </w:r>
          </w:p>
        </w:tc>
        <w:tc>
          <w:tcPr>
            <w:tcW w:w="1900" w:type="dxa"/>
            <w:vAlign w:val="center"/>
          </w:tcPr>
          <w:p>
            <w:pPr>
              <w:pStyle w:val="63"/>
              <w:spacing w:line="300" w:lineRule="atLeast"/>
              <w:rPr>
                <w:rFonts w:ascii="宋体" w:hAnsi="宋体" w:cs="宋体"/>
                <w:sz w:val="21"/>
                <w:szCs w:val="21"/>
              </w:rPr>
            </w:pPr>
            <w:r>
              <w:rPr>
                <w:rFonts w:hint="eastAsia" w:ascii="宋体" w:hAnsi="宋体" w:cs="宋体"/>
                <w:sz w:val="21"/>
                <w:szCs w:val="21"/>
              </w:rPr>
              <w:t>应用文</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依据《中等职业学校应用文课程标准》开设，并注重在职业模块的教学内容中体现专业特色。</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9</w:t>
            </w:r>
          </w:p>
        </w:tc>
        <w:tc>
          <w:tcPr>
            <w:tcW w:w="1900" w:type="dxa"/>
            <w:vAlign w:val="center"/>
          </w:tcPr>
          <w:p>
            <w:pPr>
              <w:pStyle w:val="63"/>
              <w:spacing w:line="300" w:lineRule="atLeast"/>
              <w:rPr>
                <w:rFonts w:ascii="宋体" w:hAnsi="宋体" w:cs="宋体"/>
                <w:sz w:val="21"/>
                <w:szCs w:val="21"/>
              </w:rPr>
            </w:pPr>
            <w:r>
              <w:rPr>
                <w:rFonts w:hint="eastAsia" w:ascii="宋体" w:hAnsi="宋体" w:cs="宋体"/>
                <w:sz w:val="21"/>
                <w:szCs w:val="21"/>
              </w:rPr>
              <w:t>数学</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10</w:t>
            </w:r>
          </w:p>
        </w:tc>
        <w:tc>
          <w:tcPr>
            <w:tcW w:w="1900" w:type="dxa"/>
            <w:vAlign w:val="center"/>
          </w:tcPr>
          <w:p>
            <w:pPr>
              <w:pStyle w:val="63"/>
              <w:spacing w:line="300" w:lineRule="atLeast"/>
              <w:rPr>
                <w:rFonts w:ascii="宋体" w:hAnsi="宋体" w:cs="宋体"/>
                <w:sz w:val="21"/>
                <w:szCs w:val="21"/>
              </w:rPr>
            </w:pPr>
            <w:r>
              <w:rPr>
                <w:rFonts w:hint="eastAsia" w:ascii="宋体" w:hAnsi="宋体" w:cs="宋体"/>
                <w:sz w:val="21"/>
                <w:szCs w:val="21"/>
              </w:rPr>
              <w:t>英语</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依据《中等职业学校英语课程标准》开设，并注重在职业模块的教学内容中体现专业特色。</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11</w:t>
            </w:r>
          </w:p>
        </w:tc>
        <w:tc>
          <w:tcPr>
            <w:tcW w:w="1900" w:type="dxa"/>
            <w:vAlign w:val="center"/>
          </w:tcPr>
          <w:p>
            <w:pPr>
              <w:pStyle w:val="63"/>
              <w:spacing w:line="300" w:lineRule="atLeast"/>
              <w:rPr>
                <w:rFonts w:ascii="宋体" w:hAnsi="宋体" w:cs="宋体"/>
                <w:sz w:val="21"/>
                <w:szCs w:val="21"/>
              </w:rPr>
            </w:pPr>
            <w:r>
              <w:rPr>
                <w:rFonts w:hint="eastAsia" w:ascii="宋体" w:hAnsi="宋体" w:cs="宋体"/>
                <w:sz w:val="21"/>
                <w:szCs w:val="21"/>
              </w:rPr>
              <w:t>体育与健康</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依据《中等职业学校体育与健康课程标准》开设，并与专业实际和行业发展密切结合。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12</w:t>
            </w:r>
          </w:p>
        </w:tc>
        <w:tc>
          <w:tcPr>
            <w:tcW w:w="1900" w:type="dxa"/>
            <w:vAlign w:val="center"/>
          </w:tcPr>
          <w:p>
            <w:pPr>
              <w:pStyle w:val="63"/>
              <w:spacing w:line="300" w:lineRule="atLeast"/>
              <w:rPr>
                <w:rFonts w:ascii="宋体" w:hAnsi="宋体" w:cs="宋体"/>
                <w:sz w:val="21"/>
                <w:szCs w:val="21"/>
              </w:rPr>
            </w:pPr>
            <w:r>
              <w:rPr>
                <w:rFonts w:hint="eastAsia" w:ascii="宋体" w:hAnsi="宋体" w:cs="宋体"/>
                <w:sz w:val="21"/>
                <w:szCs w:val="21"/>
              </w:rPr>
              <w:t>历史</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依据《中等职业学校历史课程标准》开设，并与专业实际和行业发展密切结合。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13</w:t>
            </w:r>
          </w:p>
        </w:tc>
        <w:tc>
          <w:tcPr>
            <w:tcW w:w="1900" w:type="dxa"/>
            <w:vAlign w:val="center"/>
          </w:tcPr>
          <w:p>
            <w:pPr>
              <w:pStyle w:val="63"/>
              <w:spacing w:line="300" w:lineRule="atLeast"/>
              <w:rPr>
                <w:rFonts w:ascii="宋体" w:hAnsi="宋体" w:cs="宋体"/>
                <w:sz w:val="21"/>
                <w:szCs w:val="21"/>
              </w:rPr>
            </w:pPr>
            <w:r>
              <w:rPr>
                <w:rFonts w:hint="eastAsia" w:ascii="宋体" w:hAnsi="宋体" w:cs="宋体"/>
                <w:sz w:val="21"/>
                <w:szCs w:val="21"/>
              </w:rPr>
              <w:t>信息技术</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依据《中等职业学校信息技术课程标准》开设，并注重在职业模块的教学内容中体现专业特色。</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14</w:t>
            </w:r>
          </w:p>
        </w:tc>
        <w:tc>
          <w:tcPr>
            <w:tcW w:w="1900" w:type="dxa"/>
            <w:vAlign w:val="center"/>
          </w:tcPr>
          <w:p>
            <w:pPr>
              <w:pStyle w:val="63"/>
              <w:spacing w:line="300" w:lineRule="atLeast"/>
              <w:rPr>
                <w:rFonts w:ascii="宋体" w:hAnsi="宋体" w:cs="宋体"/>
                <w:sz w:val="21"/>
                <w:szCs w:val="21"/>
              </w:rPr>
            </w:pPr>
            <w:r>
              <w:rPr>
                <w:rFonts w:hint="eastAsia" w:ascii="宋体" w:hAnsi="宋体" w:cs="宋体"/>
                <w:sz w:val="21"/>
                <w:szCs w:val="21"/>
              </w:rPr>
              <w:t>礼仪</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公共艺术</w:t>
            </w:r>
            <w:r>
              <w:rPr>
                <w:rFonts w:hint="eastAsia" w:ascii="宋体" w:hAnsi="宋体" w:cs="宋体"/>
                <w:sz w:val="21"/>
                <w:szCs w:val="21"/>
              </w:rPr>
              <w:t>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15</w:t>
            </w:r>
          </w:p>
        </w:tc>
        <w:tc>
          <w:tcPr>
            <w:tcW w:w="1900" w:type="dxa"/>
            <w:vAlign w:val="center"/>
          </w:tcPr>
          <w:p>
            <w:pPr>
              <w:pStyle w:val="63"/>
              <w:spacing w:line="300" w:lineRule="atLeast"/>
              <w:rPr>
                <w:rFonts w:ascii="宋体" w:hAnsi="宋体" w:cs="宋体"/>
                <w:sz w:val="21"/>
                <w:szCs w:val="21"/>
              </w:rPr>
            </w:pPr>
            <w:r>
              <w:rPr>
                <w:rFonts w:hint="eastAsia" w:ascii="宋体" w:hAnsi="宋体" w:cs="宋体"/>
                <w:sz w:val="21"/>
                <w:szCs w:val="21"/>
              </w:rPr>
              <w:t>书法</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依据《中等职业学校书法课程标准》开设，并与专业实际和行业发展密切结合。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16</w:t>
            </w:r>
          </w:p>
        </w:tc>
        <w:tc>
          <w:tcPr>
            <w:tcW w:w="1900" w:type="dxa"/>
            <w:vAlign w:val="center"/>
          </w:tcPr>
          <w:p>
            <w:pPr>
              <w:pStyle w:val="63"/>
              <w:spacing w:line="300" w:lineRule="atLeast"/>
              <w:rPr>
                <w:rFonts w:ascii="宋体" w:hAnsi="宋体" w:cs="宋体"/>
                <w:sz w:val="21"/>
                <w:szCs w:val="21"/>
              </w:rPr>
            </w:pPr>
            <w:r>
              <w:rPr>
                <w:rFonts w:hint="eastAsia" w:ascii="宋体" w:hAnsi="宋体" w:cs="宋体"/>
                <w:sz w:val="21"/>
                <w:szCs w:val="21"/>
              </w:rPr>
              <w:t>音乐</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依据《中等职业学校音乐课程标准》开设，并与专业实际和行业发展密切结合。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17</w:t>
            </w:r>
          </w:p>
        </w:tc>
        <w:tc>
          <w:tcPr>
            <w:tcW w:w="1900" w:type="dxa"/>
            <w:vAlign w:val="center"/>
          </w:tcPr>
          <w:p>
            <w:pPr>
              <w:pStyle w:val="63"/>
              <w:spacing w:line="300" w:lineRule="atLeast"/>
              <w:rPr>
                <w:rFonts w:ascii="宋体" w:hAnsi="宋体" w:cs="宋体"/>
                <w:sz w:val="21"/>
                <w:szCs w:val="21"/>
              </w:rPr>
            </w:pPr>
            <w:r>
              <w:rPr>
                <w:rFonts w:hint="eastAsia" w:ascii="宋体" w:hAnsi="宋体" w:cs="宋体"/>
                <w:sz w:val="21"/>
                <w:szCs w:val="21"/>
              </w:rPr>
              <w:t>键盘乐器演奏基础</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依据《中等职业学校键盘乐器课程标准》开设，并与专业实际和行业发展密切结合。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18</w:t>
            </w:r>
          </w:p>
        </w:tc>
        <w:tc>
          <w:tcPr>
            <w:tcW w:w="1900" w:type="dxa"/>
            <w:vAlign w:val="center"/>
          </w:tcPr>
          <w:p>
            <w:pPr>
              <w:pStyle w:val="63"/>
              <w:spacing w:line="300" w:lineRule="atLeast"/>
              <w:rPr>
                <w:rFonts w:ascii="宋体" w:hAnsi="宋体" w:cs="宋体"/>
                <w:sz w:val="21"/>
                <w:szCs w:val="21"/>
              </w:rPr>
            </w:pPr>
            <w:r>
              <w:rPr>
                <w:rFonts w:hint="eastAsia" w:ascii="宋体" w:hAnsi="宋体" w:cs="宋体"/>
                <w:sz w:val="21"/>
                <w:szCs w:val="21"/>
              </w:rPr>
              <w:t>美术</w:t>
            </w:r>
          </w:p>
        </w:tc>
        <w:tc>
          <w:tcPr>
            <w:tcW w:w="595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依据《中等职业学校美术课程标准》开设，并与专业实际和行业发展密切结合。</w:t>
            </w:r>
          </w:p>
        </w:tc>
        <w:tc>
          <w:tcPr>
            <w:tcW w:w="99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160</w:t>
            </w:r>
          </w:p>
        </w:tc>
      </w:tr>
    </w:tbl>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（二）专业课及要求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1.幼儿教师口语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口语是教师传授知识和教育学生的最主要手段，又是学生接受语言教育和语言训练的最直接范本。在训练学生口语的过程中，教师的言语是学生模仿的标本，通过课堂教学和课外活动，学生不仅从教师那里学到了知识，而且学到了语言，教育学生热爱祖国语言，认真学习、积极贯彻国家语言文字工作方针政策，增强语言规范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内容：本课程是研究幼儿教师口语运用规律的一门应用语言学科，系统地讲述普通话的理论基础和基本知识，结合普通话水平测试的要求和方法进行教学，使学生不仅能掌握普通话的基本知识，普通话水平测试的方法和技巧，还要培养和提高学生在教育教学工作中口语运用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能用标准或比较标准的普通话进行口语交际；初步掌握运用教师职业语言进行教育、教学的基本技能，并能对幼儿的口语进行指导，掌握幼儿故事讲演的基本特征，形象的表达幼儿故事的过程及教育意义。</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2.幼儿卫生保健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掌握学前儿童解剖生理特点、生长发育规律及健康评价；掌握幼儿生长发育过程中的营养需求情况及膳食配制，熟悉托幼机构的膳食管理；系统了解幼儿常见心理卫生问题的表现和原因，并能正确采取相应矫正措施；熟悉教育环境创设及教育过程中的卫生要求；学习学前儿童常见疾病的相关知识和护理原则；掌握幼儿意外事故发生的基本急救措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课程内容：本课程是中职学前教育的专业核心课程，是一门研究如何保护和增进幼儿健康的学科。以《幼儿园工作规程》和《3-6 岁儿童学习和发展指南》为指导，不仅注重儿童的现实保健问题，更注重儿童健康行为的养成。全面系统地阐述了学前儿童解剖生理特点、生长发育规律、心理卫生、营养、环境创设卫生、疾病预防、意外急救等基本保健知识和技能。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全面掌握学前儿童卫生与保健的基本理论和技能，能够分析幼儿实际生活中的卫生现象，采取正确措施保证幼儿健康，促进幼儿生理、心理、社会三个方面健康发展，并注重自身健康，提升专业素养，为以后有效的开展托幼机构的卫生保健工作打下坚实的基础。</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3.学前儿童发展心理学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掌握学前儿童生理发展、认知过程、情绪情感过程、社会化、个性等方面发展规律和各年龄阶段发展的特征；了解儿童发展差异形成的因素，初步掌握研究学前儿童心理的主要方法；能够知道学前儿童学习的主要方式和特点；学会观察与解释幼儿的行为，能够正确判断、解释和说明有关幼儿的想象与现实混淆等等容易出现的情况，解决一般的幼儿心理问题。</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课程内容：本课程是中职学前教育的专业核心课程。本课程着重阐述了发展心理学里面涉及到学前儿童这个年龄段的心理发展特点以及心理发展的基本规律，主要介绍学前儿童心理发展的特点，揭示学前儿童心理发展的需求与现有水平之间的矛盾，能够有一个全新的视角去看待幼儿的一些行为，对学生在将来能在幼儿园科学有效育儿的实地工作中起着重要的作用，能结合例子，让学生直观感受到幼儿的生活，并且能够应用到以后的实践操作中。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教学要求：通过对学前儿童教育系统中的幼儿心理发展与心理规律知识的学习，结合幼儿生活实例，理论联系实际，理解并运用各种教育措施以及研究方法来解决实际问题，使学生能在以后的教育工作中不仅可以结合各项技能学以致用，并且能够促进幼儿身心健康的和谐发展。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4.学前教育政策与法规</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门课程的学习，使学生能够比较系统地获得学前教育政策和法规等方面的基础知识，掌握、理解现行学前教育政策、法规及基本理论知识，能够初步运用法律武器解决学前教育活动中出现的法律问题，为依法施教奠定基础，帮助学生逐步规范自己的学前教育行为。</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w:t>
      </w:r>
      <w:r>
        <w:rPr>
          <w:rFonts w:ascii="仿宋" w:hAnsi="仿宋" w:eastAsia="仿宋" w:cs="仿宋"/>
          <w:sz w:val="30"/>
          <w:szCs w:val="30"/>
        </w:rPr>
        <w:t>内容</w:t>
      </w:r>
      <w:r>
        <w:rPr>
          <w:rFonts w:hint="eastAsia" w:ascii="仿宋" w:hAnsi="仿宋" w:eastAsia="仿宋" w:cs="仿宋"/>
          <w:sz w:val="30"/>
          <w:szCs w:val="30"/>
        </w:rPr>
        <w:t>：</w:t>
      </w:r>
      <w:r>
        <w:rPr>
          <w:rFonts w:ascii="仿宋" w:hAnsi="仿宋" w:eastAsia="仿宋" w:cs="仿宋"/>
          <w:sz w:val="30"/>
          <w:szCs w:val="30"/>
        </w:rPr>
        <w:t>包括幼儿教育政策与法规、学前教育的管理体制、幼儿园的开办与管理、幼儿园的保育和教育、幼儿的权利与保护、幼儿园的工作人员、幼儿园的对外沟通与合作、我国学前教育的改革动态与发展方向、国外学前教育与保育。</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 在本课程的教学环节中，教师在充分发挥自身作用的同时，还要充分调动学生的积极性和主动性。由于本课程部分的知识更新较快，如对相应政策的学习，在教学中教师要指导学生去查阅学习最新的知识，并与学生一起讨论更新的原因和背景，如何利用最新的知识指导实践。本课程实践性较强，所以在教学中要注重理论与实际的联系，注重培养和提高学生的操作能力、分析能力。教学中要列举大量的实例，根据实例分析幼儿园中常出现的行政法律问题和行政法律纠纷；对幼儿园中常出现的民事法律问题和民事法律纠纷进行分析；分析幼儿园中常出现的一些刑事案件等。</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5.幼儿教育学</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幼儿教育学是幼儿保育的重点课程之一，有着十分重要的作用。幼儿教育学旨在培养保育员的职业素养，提高保育员的幼儿教育意识，熟悉各个国家、地方的幼儿教育政策法规，理解幼儿游戏、活动等设计安排，能辅助幼儿教师进行课程设计，教学评价等活动，是一门基础课程。</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课程内容：本课程主要从职业素养、基本理论知识，专业技能三个维度对教学内容进行规划设计，主要化分工作任务完成学习活动，学生能基本运用所学幼儿教育理论等相关知识，辅助幼儿教师开展教育活动。</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本课程是中等职业学校幼儿保育专业的基础课程，本课程教学过程中注重理论联系实际，开展教学实习活动，要求学生每学期到幼儿园跟班听课和实习，使学生了解幼儿保育的政策与法规，掌握幼儿园课程教学、游戏、保育的一般原理，具有正确实施保育，辅助幼儿教师开展教育教学活动的工作能力，能胜任保育员，育婴师等岗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6.幼儿照护</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课程目标：熟知婴幼儿体格测量与评价方法；理解并掌握 </w:t>
      </w:r>
      <w:r>
        <w:rPr>
          <w:rFonts w:ascii="仿宋" w:hAnsi="仿宋" w:eastAsia="仿宋" w:cs="仿宋"/>
          <w:sz w:val="30"/>
          <w:szCs w:val="30"/>
        </w:rPr>
        <w:t>0-</w:t>
      </w:r>
      <w:r>
        <w:rPr>
          <w:rFonts w:hint="eastAsia" w:ascii="仿宋" w:hAnsi="仿宋" w:eastAsia="仿宋" w:cs="仿宋"/>
          <w:sz w:val="30"/>
          <w:szCs w:val="30"/>
        </w:rPr>
        <w:t>6</w:t>
      </w:r>
      <w:r>
        <w:rPr>
          <w:rFonts w:ascii="仿宋" w:hAnsi="仿宋" w:eastAsia="仿宋" w:cs="仿宋"/>
          <w:sz w:val="30"/>
          <w:szCs w:val="30"/>
        </w:rPr>
        <w:t xml:space="preserve"> </w:t>
      </w:r>
      <w:r>
        <w:rPr>
          <w:rFonts w:hint="eastAsia" w:ascii="仿宋" w:hAnsi="仿宋" w:eastAsia="仿宋" w:cs="仿宋"/>
          <w:sz w:val="30"/>
          <w:szCs w:val="30"/>
        </w:rPr>
        <w:t>岁婴幼儿营养与喂养及日常生活照护等方面的基本理论知识；具备常用体格测量与评价技能；具备婴幼儿体格锻炼、辅食制作、清洁与消毒、日常生活照护等基本技能；了解早教保育对儿童发展的重要意义；培养热爱婴幼儿、热爱婴幼儿保教工作的职业情感和态度。</w:t>
      </w:r>
    </w:p>
    <w:p>
      <w:pPr>
        <w:rPr>
          <w:rFonts w:ascii="仿宋" w:hAnsi="仿宋" w:eastAsia="仿宋" w:cs="仿宋"/>
          <w:sz w:val="30"/>
          <w:szCs w:val="30"/>
        </w:rPr>
      </w:pPr>
      <w:r>
        <w:rPr>
          <w:rFonts w:hint="eastAsia" w:ascii="仿宋" w:hAnsi="仿宋" w:eastAsia="仿宋" w:cs="仿宋"/>
          <w:sz w:val="30"/>
          <w:szCs w:val="30"/>
        </w:rPr>
        <w:t>课程内容：课程在吸收借鉴儿科护理学、儿童营养学和保健学等基础上，将内容分为课程概述、生长发育、体格锻炼、喂养、卫生照料、日常生活照料、常用家庭护理与急救技术、课程总结等。课程构建中融入职业道德、爱岗敬业等思政教育元素，充分体现现代养护观念。</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教学要求：分为理论和实操两方面学习，通过理论学习，使学生对知识的掌握更扎实，扩充知识面；通过实操的反复练习，提高学生的动手能力和参与性，能学以致用。</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7.婴幼儿早期教育活动设计与指导(0-3）</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课程目标：具备早期教育指导师基本的职业素养，能帮助家长直观而深入地开展亲子活动，进行循序渐进的指导，提高指导效率，优化教育行为，形成科学的育儿观，促进婴幼儿健康成长。</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课程内容：针对婴幼儿个体发展特点和需要，以理论和案例分析相结合的方式阐述婴幼儿早期教育亲子活动的设计与指导。</w:t>
      </w:r>
    </w:p>
    <w:p>
      <w:pPr>
        <w:spacing w:line="500" w:lineRule="exact"/>
        <w:ind w:firstLine="600" w:firstLineChars="200"/>
        <w:rPr>
          <w:rFonts w:ascii="仿宋" w:hAnsi="仿宋" w:eastAsia="仿宋" w:cs="仿宋"/>
          <w:color w:val="FF0000"/>
          <w:sz w:val="30"/>
          <w:szCs w:val="30"/>
        </w:rPr>
      </w:pPr>
      <w:r>
        <w:rPr>
          <w:rFonts w:hint="eastAsia" w:ascii="仿宋" w:hAnsi="仿宋" w:eastAsia="仿宋" w:cs="仿宋"/>
          <w:sz w:val="30"/>
          <w:szCs w:val="30"/>
        </w:rPr>
        <w:t>教学要求：具备对婴幼儿及家长开展的具有指导性、科学性、游戏性、互动性的学习活动能力。包括托育教育活动、早期教育机构进行的教育活动、入户指导活动、互联网+早教活动等。</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8.幼儿园活动设计与指导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课程目标：课程力图渗透幼儿园教改的新思路、新实践、新认识，尽可能继承和发挥传统教学的优点，促进学生掌握从事学前教育工作所必需的幼儿园活动设计的基础知识和相应的专业技能。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课程内容：本课程是中职学前教育的专业核心课程。本课程内容立足于运用教育学、心理学知识，将课程理论与教学设计相结合，侧重幼儿园活动的设计指导与方案评析，以活动设计思想为主线，运用丰富的教学案例，通过形式多样的教学训练方式促进学生综合能力的形成。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指导学生在掌握学前教育专业相关理论的基础上，能将理论与实践相结合，提高设计和组织教育活动的基本技能；理解幼儿园活动设计的内涵，具备活动设计的理论功底和实际操作的能力。培养学生具有敬岗爱业，遵纪守时，吃苦耐劳，积极主动等良好的职业道德；具有一定的沟通，团队合作，语言表达，文字表达，自我学习等职业综合素质；有一定的提出问题，分析问题，解决问题等开拓创新综合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9.幼儿行为观察与引导</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提高学生的行为观察技能，并向学生阐述在对幼儿的行为评估中会遇到的一些基本问题。了解幼儿行为观察方法的种类，掌握进行观察幼儿行为的具体步骤，具备设计和实施幼儿行为观察和记录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内容:学习观察记录的各个步骤和观察法，以及如何应用观察来对幼儿进行评估。为了让学生能熟知各种观察方法的优劣，课堂上将引入大量的案例并提供自我实践的机会，学生将以小组的形式完成观察记录作业。</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教学要求:要求学生了解并掌握不同观察儿童行为的方法，并能在幼儿园见习的过程中利用所学的观察要点和技巧对幼儿进行目标清晰、方法适宜、计划周全的观察记录，形成观察报告。</w:t>
      </w:r>
    </w:p>
    <w:p>
      <w:pPr>
        <w:spacing w:line="480" w:lineRule="exact"/>
        <w:ind w:firstLine="560" w:firstLineChars="200"/>
        <w:jc w:val="center"/>
        <w:rPr>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1"/>
        <w:gridCol w:w="6724"/>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3"/>
              <w:spacing w:line="300" w:lineRule="atLeast"/>
              <w:jc w:val="center"/>
              <w:rPr>
                <w:rFonts w:hAnsi="黑体" w:eastAsia="黑体"/>
                <w:sz w:val="24"/>
                <w:szCs w:val="24"/>
              </w:rPr>
            </w:pPr>
            <w:r>
              <w:rPr>
                <w:rFonts w:hAnsi="黑体" w:eastAsia="黑体"/>
                <w:sz w:val="24"/>
                <w:szCs w:val="24"/>
              </w:rPr>
              <w:t>序号</w:t>
            </w:r>
          </w:p>
        </w:tc>
        <w:tc>
          <w:tcPr>
            <w:tcW w:w="1411"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jc w:val="center"/>
              <w:rPr>
                <w:rFonts w:hAnsi="黑体" w:eastAsia="黑体"/>
                <w:sz w:val="24"/>
                <w:szCs w:val="24"/>
              </w:rPr>
            </w:pPr>
            <w:r>
              <w:rPr>
                <w:rFonts w:hint="eastAsia" w:hAnsi="黑体" w:eastAsia="黑体"/>
                <w:sz w:val="24"/>
                <w:szCs w:val="24"/>
              </w:rPr>
              <w:t>课程名称</w:t>
            </w:r>
          </w:p>
        </w:tc>
        <w:tc>
          <w:tcPr>
            <w:tcW w:w="6724"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jc w:val="center"/>
              <w:rPr>
                <w:rFonts w:hAnsi="黑体" w:eastAsia="黑体"/>
                <w:sz w:val="24"/>
                <w:szCs w:val="24"/>
              </w:rPr>
            </w:pPr>
            <w:r>
              <w:rPr>
                <w:rFonts w:hint="eastAsia" w:hAnsi="黑体" w:eastAsia="黑体"/>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3"/>
              <w:spacing w:line="30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1411" w:type="dxa"/>
            <w:tcBorders>
              <w:top w:val="single" w:color="auto" w:sz="8" w:space="0"/>
              <w:left w:val="single" w:color="auto" w:sz="4" w:space="0"/>
              <w:bottom w:val="single" w:color="auto" w:sz="4"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幼儿教师口语</w:t>
            </w:r>
          </w:p>
        </w:tc>
        <w:tc>
          <w:tcPr>
            <w:tcW w:w="6724" w:type="dxa"/>
            <w:tcBorders>
              <w:top w:val="single" w:color="auto" w:sz="8" w:space="0"/>
              <w:left w:val="single" w:color="auto" w:sz="4" w:space="0"/>
              <w:bottom w:val="single" w:color="auto" w:sz="4" w:space="0"/>
              <w:right w:val="single" w:color="auto" w:sz="4" w:space="0"/>
            </w:tcBorders>
          </w:tcPr>
          <w:p>
            <w:pPr>
              <w:spacing w:line="340" w:lineRule="exact"/>
              <w:ind w:firstLine="0"/>
              <w:rPr>
                <w:rFonts w:hint="eastAsia" w:ascii="宋体" w:hAnsi="宋体" w:eastAsia="宋体" w:cs="宋体"/>
                <w:position w:val="10"/>
                <w:sz w:val="21"/>
              </w:rPr>
            </w:pPr>
          </w:p>
          <w:p>
            <w:pPr>
              <w:spacing w:line="340" w:lineRule="exact"/>
              <w:ind w:firstLine="0"/>
              <w:rPr>
                <w:rFonts w:hint="eastAsia" w:ascii="宋体" w:hAnsi="宋体" w:eastAsia="宋体" w:cs="宋体"/>
                <w:position w:val="10"/>
                <w:sz w:val="21"/>
              </w:rPr>
            </w:pPr>
            <w:r>
              <w:rPr>
                <w:rFonts w:hint="eastAsia" w:ascii="宋体" w:hAnsi="宋体" w:eastAsia="宋体" w:cs="宋体"/>
                <w:position w:val="10"/>
                <w:sz w:val="21"/>
              </w:rPr>
              <w:t>本课程是研究幼儿教师口语运用规律的一门应用语言学科，系统地讲述普通话的理论基础和基本知识，结合普通话水平测试的要求和方法进行教学，使学生不仅能掌握普通话的基本知识，普通话水平测试的方法和技巧，还要培养和提高学生在教育教学工作中口语运用能力，初步掌握运用教师职业语言进行教育、教学的基本技能，并能对幼儿的口语进行指导，掌握幼儿故事讲演的基本特征，形象的表达幼儿故事的过程及教育意义。</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spacing w:line="300" w:lineRule="atLeast"/>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3"/>
              <w:spacing w:line="300" w:lineRule="atLeast"/>
              <w:jc w:val="center"/>
              <w:rPr>
                <w:rFonts w:hint="eastAsia" w:ascii="宋体" w:hAnsi="宋体" w:eastAsia="宋体" w:cs="宋体"/>
                <w:sz w:val="21"/>
                <w:szCs w:val="21"/>
              </w:rPr>
            </w:pPr>
            <w:r>
              <w:rPr>
                <w:rFonts w:hint="eastAsia" w:ascii="宋体" w:hAnsi="宋体" w:eastAsia="宋体" w:cs="宋体"/>
                <w:sz w:val="21"/>
                <w:szCs w:val="21"/>
              </w:rPr>
              <w:t>2</w:t>
            </w:r>
          </w:p>
        </w:tc>
        <w:tc>
          <w:tcPr>
            <w:tcW w:w="1411"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幼儿卫生保健</w:t>
            </w:r>
          </w:p>
        </w:tc>
        <w:tc>
          <w:tcPr>
            <w:tcW w:w="6724" w:type="dxa"/>
            <w:tcBorders>
              <w:top w:val="single" w:color="auto" w:sz="8" w:space="0"/>
              <w:left w:val="single" w:color="auto" w:sz="4" w:space="0"/>
              <w:bottom w:val="single" w:color="auto" w:sz="8" w:space="0"/>
              <w:right w:val="single" w:color="auto" w:sz="4" w:space="0"/>
            </w:tcBorders>
          </w:tcPr>
          <w:p>
            <w:pPr>
              <w:pStyle w:val="63"/>
              <w:spacing w:line="300" w:lineRule="atLeast"/>
              <w:rPr>
                <w:rFonts w:hint="eastAsia" w:ascii="宋体" w:hAnsi="宋体" w:eastAsia="宋体" w:cs="宋体"/>
                <w:sz w:val="21"/>
                <w:szCs w:val="21"/>
              </w:rPr>
            </w:pPr>
          </w:p>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学前儿童解剖生理特点、生长发育规律、心理卫生、营养、环境创设卫生、疾病预防、意外急救等基本保健知识和技能。全面掌握学前儿童卫生与保健的基本理论和技能，能够分析幼儿实际生活中的卫生现象，采取正确措施保证幼儿健康，促进幼儿生理、心理、社会健康发展。</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spacing w:line="300" w:lineRule="atLeast"/>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3</w:t>
            </w:r>
          </w:p>
        </w:tc>
        <w:tc>
          <w:tcPr>
            <w:tcW w:w="1411"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学前儿童发展心理学</w:t>
            </w:r>
          </w:p>
        </w:tc>
        <w:tc>
          <w:tcPr>
            <w:tcW w:w="6724" w:type="dxa"/>
            <w:tcBorders>
              <w:top w:val="single" w:color="auto" w:sz="8" w:space="0"/>
              <w:left w:val="single" w:color="auto" w:sz="4" w:space="0"/>
              <w:bottom w:val="single" w:color="auto" w:sz="8" w:space="0"/>
              <w:right w:val="single" w:color="auto" w:sz="4" w:space="0"/>
            </w:tcBorders>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着重阐述发展心理学里面涉及到学前儿童这个年龄段的心理发展特点以及心理发展的基本规律，主要介绍学前儿童心理发展的特点，揭示学前儿童心理发展的需求与现有水平之间的矛盾。通过对学前儿童教育系统中的幼儿心理发展与心理规律知识的学习，结合幼儿生活实例，理论联系实际，理解并运用各种教育措施以及研究方法来解决实际问题。</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4</w:t>
            </w:r>
          </w:p>
        </w:tc>
        <w:tc>
          <w:tcPr>
            <w:tcW w:w="1411" w:type="dxa"/>
            <w:tcBorders>
              <w:top w:val="single" w:color="auto" w:sz="8" w:space="0"/>
              <w:left w:val="single" w:color="auto" w:sz="4" w:space="0"/>
              <w:bottom w:val="single" w:color="auto" w:sz="4"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学前教育政策与法规</w:t>
            </w:r>
          </w:p>
        </w:tc>
        <w:tc>
          <w:tcPr>
            <w:tcW w:w="6724" w:type="dxa"/>
            <w:tcBorders>
              <w:top w:val="single" w:color="auto" w:sz="8" w:space="0"/>
              <w:left w:val="single" w:color="auto" w:sz="4" w:space="0"/>
              <w:bottom w:val="single" w:color="auto" w:sz="4" w:space="0"/>
              <w:right w:val="single" w:color="auto" w:sz="4" w:space="0"/>
            </w:tcBorders>
          </w:tcPr>
          <w:p>
            <w:pPr>
              <w:spacing w:line="340" w:lineRule="exact"/>
              <w:ind w:firstLine="0"/>
              <w:rPr>
                <w:rFonts w:hint="eastAsia" w:ascii="宋体" w:hAnsi="宋体" w:eastAsia="宋体" w:cs="宋体"/>
                <w:sz w:val="21"/>
              </w:rPr>
            </w:pPr>
            <w:r>
              <w:rPr>
                <w:rFonts w:hint="eastAsia" w:ascii="宋体" w:hAnsi="宋体" w:eastAsia="宋体" w:cs="宋体"/>
                <w:position w:val="10"/>
                <w:sz w:val="21"/>
              </w:rPr>
              <w:t>课程内容包括幼儿教育政策与法规、学前教育的管理体制、幼儿园的开办与管理、幼儿园的保育和教育、幼儿的权利与保护、幼儿园的工作人员、幼儿园的对外沟通与合作、我国学前教育的改革动态与发展方向、国外学前教育与保育。在本课程的教学环节中，教师在充分发挥自身作用的同时，还要充分调动学生的积极性和主动性。由于本课程部分的知识更新较快，在教学中教师要指导学生去查阅学习最新的知识，并与学生一起讨论更新的原因和背景，如何利用最新的知识指导实践。在教学中要注重理论与实际的联系，注重培养和提高学生的操作能力、分析能力。</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59" w:type="dxa"/>
            <w:tcBorders>
              <w:top w:val="single" w:color="auto" w:sz="4" w:space="0"/>
              <w:left w:val="single" w:color="auto" w:sz="8" w:space="0"/>
              <w:bottom w:val="single" w:color="auto" w:sz="4" w:space="0"/>
              <w:right w:val="single" w:color="auto" w:sz="4"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5</w:t>
            </w:r>
          </w:p>
        </w:tc>
        <w:tc>
          <w:tcPr>
            <w:tcW w:w="1411" w:type="dxa"/>
            <w:tcBorders>
              <w:top w:val="single" w:color="auto" w:sz="4" w:space="0"/>
              <w:left w:val="single" w:color="auto" w:sz="4" w:space="0"/>
              <w:bottom w:val="single" w:color="auto" w:sz="4"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幼儿教育学</w:t>
            </w:r>
          </w:p>
        </w:tc>
        <w:tc>
          <w:tcPr>
            <w:tcW w:w="6724" w:type="dxa"/>
            <w:tcBorders>
              <w:top w:val="single" w:color="auto" w:sz="4" w:space="0"/>
              <w:left w:val="single" w:color="auto" w:sz="4" w:space="0"/>
              <w:bottom w:val="single" w:color="auto" w:sz="4" w:space="0"/>
              <w:right w:val="single" w:color="auto" w:sz="4" w:space="0"/>
            </w:tcBorders>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本课程主要从职业素养、基本理论知识，专业技能三个维度对教学内容进行规划设计，主要化分工作任务完成学习活动，学生能基本运用所学幼儿教育理论等相关知识，辅助幼儿教师开展教育活动。本课程教学过程中注重理论联系实际，开展教学实习活动，使学生了解幼儿保育的政策与法规，掌握幼儿园课程教学、游戏、保育的一般原理。</w:t>
            </w:r>
          </w:p>
        </w:tc>
        <w:tc>
          <w:tcPr>
            <w:tcW w:w="761" w:type="dxa"/>
            <w:tcBorders>
              <w:top w:val="single" w:color="auto" w:sz="4" w:space="0"/>
              <w:left w:val="single" w:color="auto" w:sz="4" w:space="0"/>
              <w:bottom w:val="single" w:color="auto" w:sz="4"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6</w:t>
            </w:r>
          </w:p>
        </w:tc>
        <w:tc>
          <w:tcPr>
            <w:tcW w:w="1411" w:type="dxa"/>
            <w:tcBorders>
              <w:top w:val="single" w:color="auto" w:sz="8" w:space="0"/>
              <w:left w:val="single" w:color="auto" w:sz="4" w:space="0"/>
              <w:bottom w:val="single" w:color="auto" w:sz="4"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幼儿照护</w:t>
            </w:r>
          </w:p>
        </w:tc>
        <w:tc>
          <w:tcPr>
            <w:tcW w:w="6724" w:type="dxa"/>
            <w:tcBorders>
              <w:top w:val="single" w:color="auto" w:sz="8" w:space="0"/>
              <w:left w:val="single" w:color="auto" w:sz="4" w:space="0"/>
              <w:bottom w:val="single" w:color="auto" w:sz="4" w:space="0"/>
              <w:right w:val="single" w:color="auto" w:sz="4" w:space="0"/>
            </w:tcBorders>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课程在吸收借鉴儿科护理学、儿童营养学和保健学等基础上，将内容分为课程概述、生长发育、体格锻炼、喂养、卫生照料、日常生活照料、常用家庭护理与急救技术、课程总结等。课程构建中融入职业道德、爱岗敬业等思政教育元素，充分体现现代养护观念。分为理论和实操两方面学习，通过理论学习，使学生对知识的掌握更扎实，扩充知识面；通过实操的反复练习，提高学生的动手能力和参与性，能学以致用。</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959" w:type="dxa"/>
            <w:tcBorders>
              <w:top w:val="single" w:color="auto" w:sz="4" w:space="0"/>
              <w:left w:val="single" w:color="auto" w:sz="8" w:space="0"/>
              <w:bottom w:val="single" w:color="auto" w:sz="4" w:space="0"/>
              <w:right w:val="single" w:color="auto" w:sz="4"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7</w:t>
            </w:r>
          </w:p>
        </w:tc>
        <w:tc>
          <w:tcPr>
            <w:tcW w:w="1411" w:type="dxa"/>
            <w:tcBorders>
              <w:top w:val="single" w:color="auto" w:sz="4" w:space="0"/>
              <w:left w:val="single" w:color="auto" w:sz="4" w:space="0"/>
              <w:bottom w:val="single" w:color="auto" w:sz="4"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婴幼儿早期教育活动设计与指导</w:t>
            </w:r>
          </w:p>
        </w:tc>
        <w:tc>
          <w:tcPr>
            <w:tcW w:w="6724" w:type="dxa"/>
            <w:tcBorders>
              <w:top w:val="single" w:color="auto" w:sz="4" w:space="0"/>
              <w:left w:val="single" w:color="auto" w:sz="4" w:space="0"/>
              <w:bottom w:val="single" w:color="auto" w:sz="4" w:space="0"/>
              <w:right w:val="single" w:color="auto" w:sz="4" w:space="0"/>
            </w:tcBorders>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针对婴幼儿个体发展特点和需要，以理论和案例分析相结合的方式阐述婴幼儿早期教育亲子活动的设计与指导。具备对婴幼儿及家长开展的具有指导性、科学性、游戏性、互动性的学习活动能力。包括托育教育活动、早期教育机构进行的教育活动、入户指导活动、互联网+早教活动等。</w:t>
            </w:r>
          </w:p>
        </w:tc>
        <w:tc>
          <w:tcPr>
            <w:tcW w:w="761" w:type="dxa"/>
            <w:tcBorders>
              <w:top w:val="single" w:color="auto" w:sz="4" w:space="0"/>
              <w:left w:val="single" w:color="auto" w:sz="4" w:space="0"/>
              <w:bottom w:val="single" w:color="auto" w:sz="4"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959" w:type="dxa"/>
            <w:tcBorders>
              <w:top w:val="single" w:color="auto" w:sz="4" w:space="0"/>
              <w:left w:val="single" w:color="auto" w:sz="8" w:space="0"/>
              <w:bottom w:val="single" w:color="auto" w:sz="4" w:space="0"/>
              <w:right w:val="single" w:color="auto" w:sz="4"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8</w:t>
            </w:r>
          </w:p>
        </w:tc>
        <w:tc>
          <w:tcPr>
            <w:tcW w:w="1411" w:type="dxa"/>
            <w:tcBorders>
              <w:top w:val="single" w:color="auto" w:sz="4" w:space="0"/>
              <w:left w:val="single" w:color="auto" w:sz="4" w:space="0"/>
              <w:bottom w:val="single" w:color="auto" w:sz="4"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幼儿园活动设计与指导</w:t>
            </w:r>
          </w:p>
        </w:tc>
        <w:tc>
          <w:tcPr>
            <w:tcW w:w="6724" w:type="dxa"/>
            <w:tcBorders>
              <w:top w:val="single" w:color="auto" w:sz="4" w:space="0"/>
              <w:left w:val="single" w:color="auto" w:sz="4" w:space="0"/>
              <w:bottom w:val="single" w:color="auto" w:sz="4" w:space="0"/>
              <w:right w:val="single" w:color="auto" w:sz="4" w:space="0"/>
            </w:tcBorders>
          </w:tcPr>
          <w:p>
            <w:pPr>
              <w:pStyle w:val="63"/>
              <w:spacing w:line="300" w:lineRule="atLeast"/>
              <w:rPr>
                <w:rFonts w:hint="eastAsia" w:ascii="宋体" w:hAnsi="宋体" w:eastAsia="宋体" w:cs="宋体"/>
                <w:sz w:val="30"/>
                <w:szCs w:val="30"/>
              </w:rPr>
            </w:pPr>
            <w:r>
              <w:rPr>
                <w:rFonts w:hint="eastAsia" w:ascii="宋体" w:hAnsi="宋体" w:eastAsia="宋体" w:cs="宋体"/>
                <w:sz w:val="21"/>
                <w:szCs w:val="21"/>
              </w:rPr>
              <w:t>侧重幼儿园活动的设计指导与方案评析，以活动设计思想为主线，运用丰富的教学案例，通过形式多样的教学训练方式促进学生综合能力的形成。能将理论与实践相结合，提高设计和组织教育活动的基本技能；理解幼儿园活动设计的内涵，具备活动设计的理论功底和实际操作的能力。</w:t>
            </w:r>
          </w:p>
        </w:tc>
        <w:tc>
          <w:tcPr>
            <w:tcW w:w="761" w:type="dxa"/>
            <w:tcBorders>
              <w:top w:val="single" w:color="auto" w:sz="4" w:space="0"/>
              <w:left w:val="single" w:color="auto" w:sz="4" w:space="0"/>
              <w:bottom w:val="single" w:color="auto" w:sz="4"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9</w:t>
            </w:r>
          </w:p>
        </w:tc>
        <w:tc>
          <w:tcPr>
            <w:tcW w:w="1411" w:type="dxa"/>
            <w:tcBorders>
              <w:top w:val="single" w:color="auto" w:sz="8" w:space="0"/>
              <w:left w:val="single" w:color="auto" w:sz="4" w:space="0"/>
              <w:bottom w:val="single" w:color="auto" w:sz="4"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幼儿行为观察与引导</w:t>
            </w:r>
          </w:p>
        </w:tc>
        <w:tc>
          <w:tcPr>
            <w:tcW w:w="6724" w:type="dxa"/>
            <w:tcBorders>
              <w:top w:val="single" w:color="auto" w:sz="8" w:space="0"/>
              <w:left w:val="single" w:color="auto" w:sz="4" w:space="0"/>
              <w:bottom w:val="single" w:color="auto" w:sz="4" w:space="0"/>
              <w:right w:val="single" w:color="auto" w:sz="4" w:space="0"/>
            </w:tcBorders>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学习观察记录的各个步骤和观察法，以及如何应用观察来对幼儿进行评估。为了让学生能熟知各种观察方法的优劣，课堂上将引入大量的案例并提供自我实践的机会，学生将以小组的形式完成观察记录作业。要求学生了解并掌握不同观察儿童行为的方法，并能在幼儿园见习的过程中利用所学的观察要点和技巧对幼儿进行目标清晰、方法适宜、计划周全的观察记录，形成观察报告。</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40</w:t>
            </w:r>
          </w:p>
        </w:tc>
      </w:tr>
    </w:tbl>
    <w:p>
      <w:pPr>
        <w:overflowPunct w:val="0"/>
        <w:ind w:firstLine="0"/>
        <w:jc w:val="center"/>
        <w:rPr>
          <w:b/>
          <w:sz w:val="28"/>
          <w:szCs w:val="28"/>
        </w:rPr>
      </w:pPr>
    </w:p>
    <w:p>
      <w:pPr>
        <w:overflowPunct w:val="0"/>
        <w:ind w:left="0" w:leftChars="0"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公共基础课学时约占总学时的47%。专业课学时约占总学时的53%，在确保学生实习总量的前提下，根据实际需要集中或分阶段安排实习时间。</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2. 教学进度计划安排表</w:t>
      </w:r>
    </w:p>
    <w:p>
      <w:pPr>
        <w:ind w:firstLine="0"/>
        <w:rPr>
          <w:rFonts w:ascii="楷体" w:hAnsi="楷体" w:eastAsia="楷体" w:cs="楷体"/>
          <w:sz w:val="30"/>
          <w:szCs w:val="30"/>
        </w:rPr>
      </w:pPr>
    </w:p>
    <w:tbl>
      <w:tblPr>
        <w:tblStyle w:val="19"/>
        <w:tblW w:w="957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
        <w:gridCol w:w="441"/>
        <w:gridCol w:w="2174"/>
        <w:gridCol w:w="735"/>
        <w:gridCol w:w="618"/>
        <w:gridCol w:w="614"/>
        <w:gridCol w:w="512"/>
        <w:gridCol w:w="483"/>
        <w:gridCol w:w="483"/>
        <w:gridCol w:w="425"/>
        <w:gridCol w:w="468"/>
        <w:gridCol w:w="439"/>
        <w:gridCol w:w="732"/>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571"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黑体" w:hAnsi="黑体" w:eastAsia="黑体" w:cs="黑体"/>
                <w:b w:val="0"/>
                <w:bCs w:val="0"/>
                <w:i w:val="0"/>
                <w:iCs w:val="0"/>
                <w:color w:val="000000"/>
                <w:sz w:val="24"/>
                <w:szCs w:val="24"/>
                <w:u w:val="none"/>
                <w:lang w:val="en-US" w:eastAsia="zh-CN"/>
              </w:rPr>
              <w:t>幼儿保育教学进度计划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专业：</w:t>
            </w:r>
          </w:p>
        </w:tc>
        <w:tc>
          <w:tcPr>
            <w:tcW w:w="2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幼儿保育</w:t>
            </w:r>
          </w:p>
        </w:tc>
        <w:tc>
          <w:tcPr>
            <w:tcW w:w="19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学制：三年</w:t>
            </w:r>
          </w:p>
        </w:tc>
        <w:tc>
          <w:tcPr>
            <w:tcW w:w="453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起点：初中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课程模块</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序 号</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课程名称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总学时</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学时分配</w:t>
            </w:r>
          </w:p>
        </w:tc>
        <w:tc>
          <w:tcPr>
            <w:tcW w:w="28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各学期学时分配（周学时）</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备注</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考查与考试学期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理</w:t>
            </w:r>
          </w:p>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论</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实</w:t>
            </w:r>
          </w:p>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践</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一</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二</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三</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四</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五</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六</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公共基础课</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国防教育</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9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顶岗实习</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军训</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劳动教育</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劳动周</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职业生涯规划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职业道德与法律</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经济政治与社会</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哲学与人生</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语文</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320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320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应用文写作</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9</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数学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160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10</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英语</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160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11</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体育与健康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160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160</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12</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历史</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13</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信息技术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160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1-</w:t>
            </w:r>
            <w:r>
              <w:rPr>
                <w:rFonts w:hint="eastAsia" w:ascii="宋体" w:hAnsi="宋体" w:eastAsia="宋体" w:cs="宋体"/>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14</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礼仪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15</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书法</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20</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16</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音乐</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选修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键盘乐器演奏基础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40</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选修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0"/>
                <w:szCs w:val="20"/>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18</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美术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160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cs="宋体"/>
                <w:i w:val="0"/>
                <w:iCs w:val="0"/>
                <w:snapToGrid w:val="0"/>
                <w:color w:val="000000"/>
                <w:kern w:val="0"/>
                <w:sz w:val="20"/>
                <w:szCs w:val="20"/>
                <w:u w:val="none"/>
                <w:lang w:val="en-US" w:eastAsia="zh-CN" w:bidi="ar"/>
              </w:rPr>
              <w:t>80</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选修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专业基础课</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19</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幼儿教师口语</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幼儿卫生与保健</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21</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学前儿童发展心理学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22</w:t>
            </w:r>
          </w:p>
        </w:tc>
        <w:tc>
          <w:tcPr>
            <w:tcW w:w="2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学前教育政策与法规</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23</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幼儿教育学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核心专业课</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24</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幼儿照护</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25</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婴幼儿早期教育活动设计与指导(0-3）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26</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幼儿园教育活动设计与指导（3-6）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27</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幼儿行为观察与引导</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必修</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0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总   学  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3440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1280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960</w:t>
            </w:r>
          </w:p>
        </w:tc>
        <w:tc>
          <w:tcPr>
            <w:tcW w:w="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28</w:t>
            </w: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28</w:t>
            </w:r>
          </w:p>
        </w:tc>
        <w:tc>
          <w:tcPr>
            <w:tcW w:w="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28</w:t>
            </w:r>
          </w:p>
        </w:tc>
        <w:tc>
          <w:tcPr>
            <w:tcW w:w="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28</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30</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0"/>
                <w:szCs w:val="20"/>
                <w:u w:val="none"/>
                <w:lang w:val="en-US" w:eastAsia="zh-CN"/>
              </w:rPr>
            </w:pPr>
          </w:p>
        </w:tc>
      </w:tr>
    </w:tbl>
    <w:p>
      <w:pPr>
        <w:ind w:firstLine="0"/>
        <w:rPr>
          <w:rFonts w:ascii="楷体" w:hAnsi="楷体" w:eastAsia="楷体" w:cs="楷体"/>
          <w:sz w:val="30"/>
          <w:szCs w:val="30"/>
        </w:rPr>
      </w:pPr>
    </w:p>
    <w:p>
      <w:pPr>
        <w:overflowPunct w:val="0"/>
        <w:ind w:firstLine="600" w:firstLineChars="200"/>
        <w:rPr>
          <w:rFonts w:eastAsia="黑体"/>
          <w:sz w:val="30"/>
          <w:szCs w:val="30"/>
        </w:rPr>
      </w:pP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我校幼儿保育专业现有专业课教师25人，高级教师5名，骨干教师6人，双师型教师17名，专业带头人1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以每年招收4个班为基数，本专业的教师人数应不少于14人，其中专职教师应不少于10人，教师数与学生数之比应大于1:20，专职教师中具有中级以上职称教师人数不低于40%，高级职称人数不低于15%。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6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00" w:lineRule="exact"/>
        <w:ind w:left="585" w:leftChars="244" w:firstLine="0"/>
        <w:rPr>
          <w:rFonts w:ascii="宋体" w:hAnsi="宋体" w:cs="宋体"/>
          <w:sz w:val="28"/>
          <w:szCs w:val="28"/>
        </w:rPr>
      </w:pPr>
      <w:r>
        <w:rPr>
          <w:rFonts w:hint="eastAsia" w:ascii="仿宋" w:hAnsi="仿宋" w:eastAsia="仿宋" w:cs="仿宋"/>
          <w:sz w:val="30"/>
          <w:szCs w:val="30"/>
        </w:rPr>
        <w:t>根据课程实施需要，本专业配备校内实习实训室和校外实习实训基地。1.校内实训基地</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校内有理实一体练唱教室、形体训练实训室、电钢琴实训室等专用教室与场所，正在建设的实训室有幼儿保育实训室和幼儿保健实训室，实训场地总面积近1500平方米。已申报2023年-2025年规划建设专业实训室有幼儿心理辅导实训室、电钢琴实训室、幼儿手工实训室、幼儿美术实训室、幼儿益智游戏实训室等场所，实训室建设智能化教学支持环境，安装多媒体教学设备，对接真实职业场景或工作情境，在校内外进行幼儿生活照护、早期学习支持、安全健康照护、行为观察与引导等实训。</w:t>
      </w:r>
    </w:p>
    <w:tbl>
      <w:tblPr>
        <w:tblStyle w:val="19"/>
        <w:tblW w:w="9479" w:type="dxa"/>
        <w:jc w:val="center"/>
        <w:tblLayout w:type="fixed"/>
        <w:tblCellMar>
          <w:top w:w="0" w:type="dxa"/>
          <w:left w:w="108" w:type="dxa"/>
          <w:bottom w:w="0" w:type="dxa"/>
          <w:right w:w="108" w:type="dxa"/>
        </w:tblCellMar>
      </w:tblPr>
      <w:tblGrid>
        <w:gridCol w:w="993"/>
        <w:gridCol w:w="3377"/>
        <w:gridCol w:w="2176"/>
        <w:gridCol w:w="2933"/>
      </w:tblGrid>
      <w:tr>
        <w:tblPrEx>
          <w:tblCellMar>
            <w:top w:w="0" w:type="dxa"/>
            <w:left w:w="108" w:type="dxa"/>
            <w:bottom w:w="0" w:type="dxa"/>
            <w:right w:w="108" w:type="dxa"/>
          </w:tblCellMar>
        </w:tblPrEx>
        <w:trPr>
          <w:trHeight w:val="598"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ascii="黑体" w:hAnsi="黑体" w:eastAsia="黑体"/>
                <w:kern w:val="0"/>
                <w:position w:val="10"/>
                <w:szCs w:val="24"/>
              </w:rPr>
              <w:t>序号</w:t>
            </w:r>
          </w:p>
        </w:tc>
        <w:tc>
          <w:tcPr>
            <w:tcW w:w="3377"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hint="eastAsia" w:ascii="黑体" w:hAnsi="黑体" w:eastAsia="黑体"/>
                <w:kern w:val="0"/>
                <w:position w:val="10"/>
                <w:szCs w:val="24"/>
              </w:rPr>
              <w:t>实训室名称</w:t>
            </w: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hint="eastAsia" w:ascii="黑体" w:hAnsi="黑体" w:eastAsia="黑体"/>
                <w:kern w:val="0"/>
                <w:position w:val="10"/>
                <w:szCs w:val="24"/>
              </w:rPr>
              <w:t>主要设施设备</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hint="eastAsia" w:ascii="黑体" w:hAnsi="黑体" w:eastAsia="黑体"/>
                <w:kern w:val="0"/>
                <w:position w:val="10"/>
                <w:szCs w:val="24"/>
              </w:rPr>
              <w:t>数量</w:t>
            </w:r>
          </w:p>
        </w:tc>
      </w:tr>
      <w:tr>
        <w:tblPrEx>
          <w:tblCellMar>
            <w:top w:w="0" w:type="dxa"/>
            <w:left w:w="108" w:type="dxa"/>
            <w:bottom w:w="0" w:type="dxa"/>
            <w:right w:w="108" w:type="dxa"/>
          </w:tblCellMar>
        </w:tblPrEx>
        <w:trPr>
          <w:trHeight w:val="324" w:hRule="atLeast"/>
          <w:jc w:val="center"/>
        </w:trPr>
        <w:tc>
          <w:tcPr>
            <w:tcW w:w="993" w:type="dxa"/>
            <w:vMerge w:val="restart"/>
            <w:tcBorders>
              <w:top w:val="nil"/>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1</w:t>
            </w:r>
          </w:p>
        </w:tc>
        <w:tc>
          <w:tcPr>
            <w:tcW w:w="3377" w:type="dxa"/>
            <w:vMerge w:val="restart"/>
            <w:tcBorders>
              <w:top w:val="nil"/>
              <w:left w:val="nil"/>
              <w:right w:val="single" w:color="auto" w:sz="4" w:space="0"/>
            </w:tcBorders>
            <w:vAlign w:val="center"/>
          </w:tcPr>
          <w:p>
            <w:pPr>
              <w:tabs>
                <w:tab w:val="left" w:pos="426"/>
                <w:tab w:val="left" w:pos="709"/>
              </w:tabs>
              <w:spacing w:line="320" w:lineRule="atLeast"/>
              <w:ind w:firstLine="0"/>
              <w:rPr>
                <w:rFonts w:cs="宋体"/>
                <w:position w:val="10"/>
                <w:sz w:val="21"/>
              </w:rPr>
            </w:pPr>
            <w:r>
              <w:rPr>
                <w:rFonts w:hint="eastAsia" w:cs="宋体"/>
                <w:position w:val="10"/>
                <w:sz w:val="21"/>
              </w:rPr>
              <w:t>形体训练实训室（一）</w:t>
            </w:r>
          </w:p>
        </w:tc>
        <w:tc>
          <w:tcPr>
            <w:tcW w:w="2176" w:type="dxa"/>
            <w:tcBorders>
              <w:top w:val="nil"/>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镜子</w:t>
            </w:r>
          </w:p>
        </w:tc>
        <w:tc>
          <w:tcPr>
            <w:tcW w:w="2933" w:type="dxa"/>
            <w:tcBorders>
              <w:top w:val="nil"/>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25平方米</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把杆</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45米</w:t>
            </w:r>
          </w:p>
        </w:tc>
      </w:tr>
      <w:tr>
        <w:tblPrEx>
          <w:tblCellMar>
            <w:top w:w="0" w:type="dxa"/>
            <w:left w:w="108" w:type="dxa"/>
            <w:bottom w:w="0" w:type="dxa"/>
            <w:right w:w="108" w:type="dxa"/>
          </w:tblCellMar>
        </w:tblPrEx>
        <w:trPr>
          <w:trHeight w:val="392"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储物柜</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1组</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tabs>
                <w:tab w:val="left" w:pos="426"/>
                <w:tab w:val="left" w:pos="709"/>
              </w:tabs>
              <w:spacing w:line="320" w:lineRule="atLeas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324" w:hRule="atLeast"/>
          <w:jc w:val="center"/>
        </w:trPr>
        <w:tc>
          <w:tcPr>
            <w:tcW w:w="993" w:type="dxa"/>
            <w:vMerge w:val="restart"/>
            <w:tcBorders>
              <w:top w:val="single" w:color="auto" w:sz="4" w:space="0"/>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2</w:t>
            </w:r>
          </w:p>
        </w:tc>
        <w:tc>
          <w:tcPr>
            <w:tcW w:w="3377" w:type="dxa"/>
            <w:vMerge w:val="restart"/>
            <w:tcBorders>
              <w:top w:val="single" w:color="auto" w:sz="4" w:space="0"/>
              <w:left w:val="nil"/>
              <w:right w:val="single" w:color="auto" w:sz="4" w:space="0"/>
            </w:tcBorders>
            <w:vAlign w:val="center"/>
          </w:tcPr>
          <w:p>
            <w:pPr>
              <w:tabs>
                <w:tab w:val="left" w:pos="426"/>
                <w:tab w:val="left" w:pos="709"/>
              </w:tabs>
              <w:spacing w:line="320" w:lineRule="atLeast"/>
              <w:ind w:firstLine="0"/>
              <w:rPr>
                <w:rFonts w:cs="宋体"/>
                <w:position w:val="10"/>
                <w:sz w:val="21"/>
              </w:rPr>
            </w:pPr>
            <w:r>
              <w:rPr>
                <w:rFonts w:hint="eastAsia" w:cs="宋体"/>
                <w:position w:val="10"/>
                <w:sz w:val="21"/>
              </w:rPr>
              <w:t>形体训练实训室（二）</w:t>
            </w: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镜子</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25平方米</w:t>
            </w:r>
          </w:p>
        </w:tc>
      </w:tr>
      <w:tr>
        <w:tblPrEx>
          <w:tblCellMar>
            <w:top w:w="0" w:type="dxa"/>
            <w:left w:w="108" w:type="dxa"/>
            <w:bottom w:w="0" w:type="dxa"/>
            <w:right w:w="108" w:type="dxa"/>
          </w:tblCellMar>
        </w:tblPrEx>
        <w:trPr>
          <w:trHeight w:val="367"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把杆</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40米</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鞋架</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2个</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tabs>
                <w:tab w:val="left" w:pos="426"/>
                <w:tab w:val="left" w:pos="709"/>
              </w:tabs>
              <w:spacing w:line="320" w:lineRule="atLeas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restart"/>
            <w:tcBorders>
              <w:top w:val="nil"/>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3</w:t>
            </w:r>
          </w:p>
        </w:tc>
        <w:tc>
          <w:tcPr>
            <w:tcW w:w="3377" w:type="dxa"/>
            <w:vMerge w:val="restart"/>
            <w:tcBorders>
              <w:top w:val="nil"/>
              <w:left w:val="nil"/>
              <w:right w:val="single" w:color="auto" w:sz="4" w:space="0"/>
            </w:tcBorders>
            <w:vAlign w:val="center"/>
          </w:tcPr>
          <w:p>
            <w:pPr>
              <w:widowControl/>
              <w:spacing w:line="400" w:lineRule="exact"/>
              <w:ind w:firstLine="0"/>
              <w:jc w:val="left"/>
              <w:rPr>
                <w:rFonts w:cs="宋体"/>
                <w:position w:val="10"/>
                <w:sz w:val="21"/>
              </w:rPr>
            </w:pPr>
            <w:r>
              <w:rPr>
                <w:rFonts w:hint="eastAsia" w:cs="宋体"/>
                <w:position w:val="10"/>
                <w:sz w:val="21"/>
              </w:rPr>
              <w:t>多功能排练厅</w:t>
            </w:r>
          </w:p>
        </w:tc>
        <w:tc>
          <w:tcPr>
            <w:tcW w:w="2176"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钢琴</w:t>
            </w:r>
          </w:p>
        </w:tc>
        <w:tc>
          <w:tcPr>
            <w:tcW w:w="2933"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widowControl/>
              <w:spacing w:line="400" w:lineRule="exact"/>
              <w:ind w:firstLine="0"/>
              <w:jc w:val="left"/>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多媒体</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1套</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widowControl/>
              <w:spacing w:line="400" w:lineRule="exact"/>
              <w:ind w:firstLine="0"/>
              <w:jc w:val="left"/>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restart"/>
            <w:tcBorders>
              <w:top w:val="nil"/>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4</w:t>
            </w:r>
          </w:p>
        </w:tc>
        <w:tc>
          <w:tcPr>
            <w:tcW w:w="3377" w:type="dxa"/>
            <w:vMerge w:val="restart"/>
            <w:tcBorders>
              <w:top w:val="nil"/>
              <w:left w:val="nil"/>
              <w:right w:val="single" w:color="auto" w:sz="4" w:space="0"/>
            </w:tcBorders>
            <w:vAlign w:val="center"/>
          </w:tcPr>
          <w:p>
            <w:pPr>
              <w:widowControl/>
              <w:spacing w:line="400" w:lineRule="exact"/>
              <w:ind w:firstLine="0"/>
              <w:rPr>
                <w:rFonts w:cs="宋体"/>
                <w:position w:val="10"/>
                <w:sz w:val="21"/>
              </w:rPr>
            </w:pPr>
            <w:r>
              <w:rPr>
                <w:rFonts w:hint="eastAsia" w:cs="宋体"/>
                <w:position w:val="10"/>
                <w:sz w:val="21"/>
              </w:rPr>
              <w:t>电钢琴实训室（一）</w:t>
            </w:r>
          </w:p>
        </w:tc>
        <w:tc>
          <w:tcPr>
            <w:tcW w:w="2176"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学生用琴</w:t>
            </w:r>
          </w:p>
        </w:tc>
        <w:tc>
          <w:tcPr>
            <w:tcW w:w="2933"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55台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widowControl/>
              <w:spacing w:line="400" w:lineRule="exac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教师用琴</w:t>
            </w:r>
          </w:p>
        </w:tc>
        <w:tc>
          <w:tcPr>
            <w:tcW w:w="2933"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2台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widowControl/>
              <w:spacing w:line="400" w:lineRule="exac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restart"/>
            <w:tcBorders>
              <w:top w:val="single" w:color="auto" w:sz="4" w:space="0"/>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5</w:t>
            </w:r>
          </w:p>
        </w:tc>
        <w:tc>
          <w:tcPr>
            <w:tcW w:w="3377" w:type="dxa"/>
            <w:vMerge w:val="restart"/>
            <w:tcBorders>
              <w:top w:val="single" w:color="auto" w:sz="4" w:space="0"/>
              <w:left w:val="nil"/>
              <w:right w:val="single" w:color="auto" w:sz="4" w:space="0"/>
            </w:tcBorders>
            <w:vAlign w:val="center"/>
          </w:tcPr>
          <w:p>
            <w:pPr>
              <w:widowControl/>
              <w:spacing w:line="400" w:lineRule="exact"/>
              <w:ind w:firstLine="0"/>
              <w:rPr>
                <w:rFonts w:cs="宋体"/>
                <w:position w:val="10"/>
                <w:sz w:val="21"/>
              </w:rPr>
            </w:pPr>
            <w:r>
              <w:rPr>
                <w:rFonts w:hint="eastAsia" w:cs="宋体"/>
                <w:position w:val="10"/>
                <w:sz w:val="21"/>
              </w:rPr>
              <w:t>电钢琴实训室（二）</w:t>
            </w:r>
          </w:p>
        </w:tc>
        <w:tc>
          <w:tcPr>
            <w:tcW w:w="2176"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学生用琴</w:t>
            </w:r>
          </w:p>
        </w:tc>
        <w:tc>
          <w:tcPr>
            <w:tcW w:w="2933"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52台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spacing w:line="320" w:lineRule="exact"/>
              <w:jc w:val="center"/>
              <w:rPr>
                <w:rFonts w:ascii="仿宋" w:hAnsi="仿宋" w:eastAsia="仿宋" w:cs="宋体"/>
                <w:kern w:val="0"/>
                <w:szCs w:val="24"/>
              </w:rPr>
            </w:pPr>
          </w:p>
        </w:tc>
        <w:tc>
          <w:tcPr>
            <w:tcW w:w="3377" w:type="dxa"/>
            <w:vMerge w:val="continue"/>
            <w:tcBorders>
              <w:left w:val="nil"/>
              <w:right w:val="single" w:color="auto" w:sz="4" w:space="0"/>
            </w:tcBorders>
            <w:vAlign w:val="center"/>
          </w:tcPr>
          <w:p>
            <w:pPr>
              <w:widowControl/>
              <w:spacing w:line="400" w:lineRule="exac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教师用琴</w:t>
            </w:r>
          </w:p>
        </w:tc>
        <w:tc>
          <w:tcPr>
            <w:tcW w:w="2933"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spacing w:line="320" w:lineRule="exact"/>
              <w:jc w:val="center"/>
              <w:rPr>
                <w:rFonts w:ascii="仿宋" w:hAnsi="仿宋" w:eastAsia="仿宋" w:cs="宋体"/>
                <w:kern w:val="0"/>
                <w:szCs w:val="24"/>
              </w:rPr>
            </w:pPr>
          </w:p>
        </w:tc>
        <w:tc>
          <w:tcPr>
            <w:tcW w:w="3377" w:type="dxa"/>
            <w:vMerge w:val="continue"/>
            <w:tcBorders>
              <w:left w:val="nil"/>
              <w:right w:val="single" w:color="auto" w:sz="4" w:space="0"/>
            </w:tcBorders>
            <w:vAlign w:val="center"/>
          </w:tcPr>
          <w:p>
            <w:pPr>
              <w:widowControl/>
              <w:spacing w:line="400" w:lineRule="exac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电脑</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12" w:hRule="atLeast"/>
          <w:jc w:val="center"/>
        </w:trPr>
        <w:tc>
          <w:tcPr>
            <w:tcW w:w="993" w:type="dxa"/>
            <w:vMerge w:val="continue"/>
            <w:tcBorders>
              <w:left w:val="single" w:color="auto" w:sz="4" w:space="0"/>
              <w:bottom w:val="single" w:color="auto" w:sz="4" w:space="0"/>
              <w:right w:val="single" w:color="auto" w:sz="4" w:space="0"/>
            </w:tcBorders>
            <w:vAlign w:val="center"/>
          </w:tcPr>
          <w:p>
            <w:pPr>
              <w:spacing w:line="320" w:lineRule="exact"/>
              <w:jc w:val="center"/>
              <w:rPr>
                <w:rFonts w:ascii="仿宋" w:hAnsi="仿宋" w:eastAsia="仿宋" w:cs="宋体"/>
                <w:kern w:val="0"/>
                <w:szCs w:val="24"/>
              </w:rPr>
            </w:pPr>
          </w:p>
        </w:tc>
        <w:tc>
          <w:tcPr>
            <w:tcW w:w="3377" w:type="dxa"/>
            <w:vMerge w:val="continue"/>
            <w:tcBorders>
              <w:left w:val="nil"/>
              <w:bottom w:val="single" w:color="auto" w:sz="4" w:space="0"/>
              <w:right w:val="single" w:color="auto" w:sz="4" w:space="0"/>
            </w:tcBorders>
            <w:vAlign w:val="center"/>
          </w:tcPr>
          <w:p>
            <w:pPr>
              <w:widowControl/>
              <w:spacing w:line="400" w:lineRule="exac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1台</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2.校外实训基地</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专业现有4家稳定的幼儿园作为课程见习、实训、顶岗实习的基地。校外实训基地应完成主班老师、配班老师、保育老师等核心岗位群核心技能的训练，第5、6学期学生要在校外实训基地完成岗位培训和顶岗实习任务。校外实训基地要能提供真实工作岗位，实现学生顶岗实习，并能最大限度地满足学生最终在实训基地企业就业的目的。</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480" w:lineRule="exact"/>
        <w:ind w:firstLine="600" w:firstLineChars="200"/>
        <w:rPr>
          <w:sz w:val="28"/>
          <w:szCs w:val="28"/>
        </w:rPr>
      </w:pPr>
      <w:r>
        <w:rPr>
          <w:rFonts w:hint="eastAsia" w:ascii="仿宋" w:hAnsi="仿宋" w:eastAsia="仿宋" w:cs="仿宋"/>
          <w:sz w:val="30"/>
          <w:szCs w:val="30"/>
        </w:rPr>
        <w:t>专业课教材建议选用中等职业学校国家规划教材或学前教育专业“课证融合”创新系列教材，有可供学生自主学习的网络课程，包括：教学大纲、考试大纲、实训大纲、电子教案、多媒体课件、习题库、网上测试或试题库、实训项目、参考书目等内容。</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按照“教、学、做合一”的总体原则,根据课程性质,采用班级授课、分组教学、现场教学、实践训练、开展讨论与讲座等形式组织教学；不断改革教学方法，采用项目教学、案例教学、任务驱动教学、角色扮演情境教学、信息化教学等方法将学校课堂与行业大课堂结合；不断创新教学手段,利用专业教师的教学博客（网课教学资源）及学生个人空间,建立课程交流讨论微信群；另外还可利用教学团队的微信群、班级微信群、精品课程网站等网络空间,聚集教学资源,建立交流平台,实现在线教学及实时互动，促进学生自主学习、自主探索, 形成创新课堂教学模式。</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对学生的考评体现评价主体、评价方式、评价过程的多元化，即教师评价、学生相互评价与自我评价相结合，不仅仅关注学生的学习结果，更关注学生内在的学习品质；有条件可以聘请幼教专家参与评价，专业课程的考核评价尽量减少理论考试方式，而以实操考核、项目考核和过程考核为主；学习过程性评价与终结性评价相结合，坚持定量评价和定性评价相结合，应知评价和应会评价相结合的原则；评价内容应涵盖情感态度、岗位能力、职业行为、知识点的掌握、技能的熟练程度、完成任务的质量等。不仅关注学生对知识的理解和基本技能的掌握，更关注知识和基本技能在实践中运用与解决实际问题的能力水平，重视规范操作、安全文明生产等职业素质的形成，树立正确的职业观与儿童观，关爱儿童，促进学前儿童身心健康发展。</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1.毕业生质量标准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学生行为习惯方面（含顶岗实习期间）：有良好的行为习惯，基本符合学校的“三规范”（规范语言、规范行为、规范形象）、“四规定”（在规定的时间、规定的地点做好规范的事情）、“五学会”（学会微笑、学会让道、学会打招呼、学会讲卫生、学会爱护公物）、“六 S”（安全、整理、整顿、清扫、清洁、素养），无违纪行为或有违纪但后期表现好学校撤销处分。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2.学业成绩方面</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所有公共基础课参加考试考核，成绩合格，体育考核成绩达标。专业课程60分达标，技能考核60分达标。学校建立专业建设监控与评估制度，实施行业企业专家和学校教学专家进行专业评价，对专业建设进行动态管理。开展专业建设年度检查制度，定期检查各专业建设的年度进展情况，形成教学质量监控的组织体系、制度体系和运行体系。</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3.教学监督</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专业部通过教学监督、听课制度、学生评价等多种手段进行教学质量监控。专业部每学期都会安排相互听课及公开课活动。通过这种方式，能够促使老师相互学习优秀的教学方法、教学手段，促进大家在丰富教学手段、提高教学质量中实现共同提高。其次是教学检查方面。每个学期，专业部都会根据学校的统一安排开展教学检查。在教学检查过程中，督促各位任课老师认真备课，及时准备课程材料，包括课程大纲、授课计划、教案、PPT，对任课老师的授课质量进行过程性监督。专业部会定期组织学生代表，参与到学生对任课老师、对专业建设的评价中来。通过听取学生的意见建议，使得每个专业、每位教师对自己的专业建设情况、教师的授课情况及学生对专业的认知情况有了更加深入的理解，促进每个专业的自我反思、自我提升。此外，专业部还成立教学督导小组，督导专业建设与课程建设等。 </w:t>
      </w:r>
    </w:p>
    <w:p>
      <w:pPr>
        <w:overflowPunct w:val="0"/>
        <w:ind w:firstLine="600" w:firstLineChars="200"/>
        <w:rPr>
          <w:rFonts w:eastAsia="黑体"/>
          <w:sz w:val="30"/>
          <w:szCs w:val="30"/>
        </w:rPr>
      </w:pPr>
      <w:r>
        <w:rPr>
          <w:rFonts w:hint="eastAsia" w:ascii="黑体" w:hAnsi="黑体" w:eastAsia="黑体"/>
          <w:sz w:val="30"/>
          <w:szCs w:val="30"/>
        </w:rPr>
        <w:t>九、毕业要求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学生通过三年的学习，修满本专业人才培养方案所规定全部课程的学时且成绩合格，顶岗实习和社会实践考核合格，完成规定的教学活动，毕业时达到要求的综合素质、专业知识和能力水平，符合国家、省教育行政部门中等职业学校学生学籍管理的有关规定，思想品德评价合格,身心健康，且符合学校的有关毕业要求方可毕业。</w:t>
      </w:r>
    </w:p>
    <w:sectPr>
      <w:footerReference r:id="rId10" w:type="default"/>
      <w:footerReference r:id="rId11" w:type="even"/>
      <w:pgSz w:w="11907" w:h="16840"/>
      <w:pgMar w:top="1134" w:right="1134" w:bottom="1134" w:left="1134" w:header="851" w:footer="1247" w:gutter="0"/>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p>
  <w:p>
    <w:pPr>
      <w:pStyle w:val="13"/>
      <w:spacing w:line="240" w:lineRule="auto"/>
      <w:ind w:right="35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17</w:t>
                    </w:r>
                    <w:r>
                      <w:fldChar w:fldCharType="end"/>
                    </w:r>
                  </w:p>
                </w:txbxContent>
              </v:textbox>
            </v:shape>
          </w:pict>
        </mc:Fallback>
      </mc:AlternateContent>
    </w:r>
  </w:p>
  <w:p>
    <w:pPr>
      <w:pStyle w:val="13"/>
      <w:spacing w:line="240" w:lineRule="auto"/>
      <w:ind w:right="360"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200"/>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3854"/>
    <w:rsid w:val="00007532"/>
    <w:rsid w:val="0000796F"/>
    <w:rsid w:val="00010C0B"/>
    <w:rsid w:val="00012A8A"/>
    <w:rsid w:val="0001346F"/>
    <w:rsid w:val="000141F9"/>
    <w:rsid w:val="00016A1A"/>
    <w:rsid w:val="00021EEB"/>
    <w:rsid w:val="0002248F"/>
    <w:rsid w:val="0002475C"/>
    <w:rsid w:val="00024E7A"/>
    <w:rsid w:val="000260D9"/>
    <w:rsid w:val="000315CF"/>
    <w:rsid w:val="000319C2"/>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34D"/>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0772"/>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03BD"/>
    <w:rsid w:val="0014750E"/>
    <w:rsid w:val="00150283"/>
    <w:rsid w:val="0015037C"/>
    <w:rsid w:val="001573AB"/>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1282"/>
    <w:rsid w:val="001D2A37"/>
    <w:rsid w:val="001D2A55"/>
    <w:rsid w:val="001D46F0"/>
    <w:rsid w:val="001D4F18"/>
    <w:rsid w:val="001E57CC"/>
    <w:rsid w:val="001E7B08"/>
    <w:rsid w:val="001F0304"/>
    <w:rsid w:val="001F0F54"/>
    <w:rsid w:val="001F3E7F"/>
    <w:rsid w:val="001F55BF"/>
    <w:rsid w:val="00201C38"/>
    <w:rsid w:val="00217DB2"/>
    <w:rsid w:val="0022094D"/>
    <w:rsid w:val="00220CE0"/>
    <w:rsid w:val="0022251F"/>
    <w:rsid w:val="00222E96"/>
    <w:rsid w:val="00223190"/>
    <w:rsid w:val="00223274"/>
    <w:rsid w:val="00225F50"/>
    <w:rsid w:val="00226D98"/>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4505A"/>
    <w:rsid w:val="002500BD"/>
    <w:rsid w:val="0025075C"/>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B6923"/>
    <w:rsid w:val="002C327D"/>
    <w:rsid w:val="002C37FF"/>
    <w:rsid w:val="002C3C25"/>
    <w:rsid w:val="002C7BAC"/>
    <w:rsid w:val="002C7D80"/>
    <w:rsid w:val="002D0EBA"/>
    <w:rsid w:val="002D10BD"/>
    <w:rsid w:val="002D3EEE"/>
    <w:rsid w:val="002E1AB5"/>
    <w:rsid w:val="002E2B8E"/>
    <w:rsid w:val="002E59F8"/>
    <w:rsid w:val="002E74AE"/>
    <w:rsid w:val="002F2897"/>
    <w:rsid w:val="002F2D60"/>
    <w:rsid w:val="002F5DFB"/>
    <w:rsid w:val="002F6120"/>
    <w:rsid w:val="002F6644"/>
    <w:rsid w:val="0030139C"/>
    <w:rsid w:val="00302827"/>
    <w:rsid w:val="00303DB0"/>
    <w:rsid w:val="00303DE5"/>
    <w:rsid w:val="00303F4E"/>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3F54"/>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0B19"/>
    <w:rsid w:val="003A151C"/>
    <w:rsid w:val="003A28DB"/>
    <w:rsid w:val="003A33D8"/>
    <w:rsid w:val="003A52ED"/>
    <w:rsid w:val="003A6241"/>
    <w:rsid w:val="003A67A2"/>
    <w:rsid w:val="003A6BD0"/>
    <w:rsid w:val="003A7705"/>
    <w:rsid w:val="003B0874"/>
    <w:rsid w:val="003B1AF7"/>
    <w:rsid w:val="003B3E41"/>
    <w:rsid w:val="003B52B7"/>
    <w:rsid w:val="003B55FB"/>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4F8D"/>
    <w:rsid w:val="00405B63"/>
    <w:rsid w:val="004065E9"/>
    <w:rsid w:val="00407E42"/>
    <w:rsid w:val="00412D54"/>
    <w:rsid w:val="00413814"/>
    <w:rsid w:val="0041397B"/>
    <w:rsid w:val="0041403E"/>
    <w:rsid w:val="00421E3F"/>
    <w:rsid w:val="00421FCE"/>
    <w:rsid w:val="00422023"/>
    <w:rsid w:val="00426CDF"/>
    <w:rsid w:val="004272E0"/>
    <w:rsid w:val="004272E3"/>
    <w:rsid w:val="00427A29"/>
    <w:rsid w:val="0043012C"/>
    <w:rsid w:val="0043160E"/>
    <w:rsid w:val="00432834"/>
    <w:rsid w:val="004330F9"/>
    <w:rsid w:val="0043357C"/>
    <w:rsid w:val="00433F0D"/>
    <w:rsid w:val="00434BAB"/>
    <w:rsid w:val="004360EB"/>
    <w:rsid w:val="0044051E"/>
    <w:rsid w:val="00440DA5"/>
    <w:rsid w:val="00445885"/>
    <w:rsid w:val="004468E2"/>
    <w:rsid w:val="00452319"/>
    <w:rsid w:val="00454102"/>
    <w:rsid w:val="00454786"/>
    <w:rsid w:val="0045592B"/>
    <w:rsid w:val="00457900"/>
    <w:rsid w:val="00460E30"/>
    <w:rsid w:val="004611AD"/>
    <w:rsid w:val="00470543"/>
    <w:rsid w:val="004723EA"/>
    <w:rsid w:val="0047262B"/>
    <w:rsid w:val="00472EC9"/>
    <w:rsid w:val="00480E92"/>
    <w:rsid w:val="004819D5"/>
    <w:rsid w:val="00482A61"/>
    <w:rsid w:val="00484779"/>
    <w:rsid w:val="00486618"/>
    <w:rsid w:val="004907B6"/>
    <w:rsid w:val="00490DA9"/>
    <w:rsid w:val="00493786"/>
    <w:rsid w:val="00493AFC"/>
    <w:rsid w:val="004940DC"/>
    <w:rsid w:val="004956EB"/>
    <w:rsid w:val="00495A95"/>
    <w:rsid w:val="0049720F"/>
    <w:rsid w:val="004A01E4"/>
    <w:rsid w:val="004A0B59"/>
    <w:rsid w:val="004A13B1"/>
    <w:rsid w:val="004A1970"/>
    <w:rsid w:val="004A569A"/>
    <w:rsid w:val="004B3C94"/>
    <w:rsid w:val="004B747E"/>
    <w:rsid w:val="004C6473"/>
    <w:rsid w:val="004D25E3"/>
    <w:rsid w:val="004D45DC"/>
    <w:rsid w:val="004D473F"/>
    <w:rsid w:val="004D6E77"/>
    <w:rsid w:val="004E3D85"/>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6AC"/>
    <w:rsid w:val="005258CF"/>
    <w:rsid w:val="00527258"/>
    <w:rsid w:val="00527CAF"/>
    <w:rsid w:val="00530490"/>
    <w:rsid w:val="00532407"/>
    <w:rsid w:val="00535731"/>
    <w:rsid w:val="00535C58"/>
    <w:rsid w:val="00541DE3"/>
    <w:rsid w:val="00544F4B"/>
    <w:rsid w:val="00545878"/>
    <w:rsid w:val="00545EA8"/>
    <w:rsid w:val="005469AF"/>
    <w:rsid w:val="00546A47"/>
    <w:rsid w:val="005508C2"/>
    <w:rsid w:val="005519FD"/>
    <w:rsid w:val="00551BB9"/>
    <w:rsid w:val="00557ACD"/>
    <w:rsid w:val="00560FF7"/>
    <w:rsid w:val="00562665"/>
    <w:rsid w:val="005638A3"/>
    <w:rsid w:val="00565650"/>
    <w:rsid w:val="005662ED"/>
    <w:rsid w:val="0057191F"/>
    <w:rsid w:val="00572AED"/>
    <w:rsid w:val="005777FF"/>
    <w:rsid w:val="00577D57"/>
    <w:rsid w:val="0058046D"/>
    <w:rsid w:val="0058067C"/>
    <w:rsid w:val="0058177B"/>
    <w:rsid w:val="005839E4"/>
    <w:rsid w:val="005909C8"/>
    <w:rsid w:val="00591C5E"/>
    <w:rsid w:val="00591FB2"/>
    <w:rsid w:val="00592B67"/>
    <w:rsid w:val="00594771"/>
    <w:rsid w:val="00595526"/>
    <w:rsid w:val="00595B96"/>
    <w:rsid w:val="005960F2"/>
    <w:rsid w:val="005966BB"/>
    <w:rsid w:val="00596C94"/>
    <w:rsid w:val="00597CE0"/>
    <w:rsid w:val="005A0252"/>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4BE9"/>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0C4B"/>
    <w:rsid w:val="006340B7"/>
    <w:rsid w:val="00635C57"/>
    <w:rsid w:val="00636928"/>
    <w:rsid w:val="006407D0"/>
    <w:rsid w:val="00640EAD"/>
    <w:rsid w:val="006413B1"/>
    <w:rsid w:val="00644659"/>
    <w:rsid w:val="00644ECA"/>
    <w:rsid w:val="00644F9D"/>
    <w:rsid w:val="00646ADD"/>
    <w:rsid w:val="006471A5"/>
    <w:rsid w:val="00647416"/>
    <w:rsid w:val="00655717"/>
    <w:rsid w:val="006559A1"/>
    <w:rsid w:val="00655C20"/>
    <w:rsid w:val="00656C58"/>
    <w:rsid w:val="00660770"/>
    <w:rsid w:val="00660A4D"/>
    <w:rsid w:val="006616F2"/>
    <w:rsid w:val="00664438"/>
    <w:rsid w:val="006657F9"/>
    <w:rsid w:val="00673BD9"/>
    <w:rsid w:val="006746BF"/>
    <w:rsid w:val="00677DED"/>
    <w:rsid w:val="006824A8"/>
    <w:rsid w:val="006833D2"/>
    <w:rsid w:val="006841E1"/>
    <w:rsid w:val="00685B82"/>
    <w:rsid w:val="00686373"/>
    <w:rsid w:val="00690DD2"/>
    <w:rsid w:val="0069336C"/>
    <w:rsid w:val="006A54B7"/>
    <w:rsid w:val="006A717D"/>
    <w:rsid w:val="006B166C"/>
    <w:rsid w:val="006B1BFC"/>
    <w:rsid w:val="006B4E7D"/>
    <w:rsid w:val="006C4807"/>
    <w:rsid w:val="006C6EB7"/>
    <w:rsid w:val="006D2079"/>
    <w:rsid w:val="006D32D1"/>
    <w:rsid w:val="006D7024"/>
    <w:rsid w:val="006E1311"/>
    <w:rsid w:val="006E1D97"/>
    <w:rsid w:val="006E4CB7"/>
    <w:rsid w:val="006E5854"/>
    <w:rsid w:val="006E78E4"/>
    <w:rsid w:val="006E7C00"/>
    <w:rsid w:val="006F2517"/>
    <w:rsid w:val="006F2B0F"/>
    <w:rsid w:val="006F3481"/>
    <w:rsid w:val="00701C5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2EF1"/>
    <w:rsid w:val="00753574"/>
    <w:rsid w:val="00753A3C"/>
    <w:rsid w:val="007549EF"/>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05A0"/>
    <w:rsid w:val="00781B3E"/>
    <w:rsid w:val="00782409"/>
    <w:rsid w:val="00782967"/>
    <w:rsid w:val="00782B8C"/>
    <w:rsid w:val="007840D4"/>
    <w:rsid w:val="00784F12"/>
    <w:rsid w:val="00785089"/>
    <w:rsid w:val="0078558C"/>
    <w:rsid w:val="00786A9B"/>
    <w:rsid w:val="0079182A"/>
    <w:rsid w:val="00792A69"/>
    <w:rsid w:val="00792B12"/>
    <w:rsid w:val="00794629"/>
    <w:rsid w:val="00796105"/>
    <w:rsid w:val="007A412F"/>
    <w:rsid w:val="007A54FE"/>
    <w:rsid w:val="007B0915"/>
    <w:rsid w:val="007B5202"/>
    <w:rsid w:val="007B6277"/>
    <w:rsid w:val="007C227D"/>
    <w:rsid w:val="007C4C3C"/>
    <w:rsid w:val="007D199C"/>
    <w:rsid w:val="007D23B2"/>
    <w:rsid w:val="007E1B55"/>
    <w:rsid w:val="007E2CF6"/>
    <w:rsid w:val="007E32FA"/>
    <w:rsid w:val="007E3EC5"/>
    <w:rsid w:val="007E6EBB"/>
    <w:rsid w:val="007E6EE2"/>
    <w:rsid w:val="007E7F8C"/>
    <w:rsid w:val="007F007B"/>
    <w:rsid w:val="007F1426"/>
    <w:rsid w:val="007F179D"/>
    <w:rsid w:val="007F46F1"/>
    <w:rsid w:val="007F4D93"/>
    <w:rsid w:val="007F5A98"/>
    <w:rsid w:val="007F640C"/>
    <w:rsid w:val="007F7A26"/>
    <w:rsid w:val="007F7E29"/>
    <w:rsid w:val="0080329B"/>
    <w:rsid w:val="008134FC"/>
    <w:rsid w:val="008170B6"/>
    <w:rsid w:val="008179DF"/>
    <w:rsid w:val="00817E96"/>
    <w:rsid w:val="00821F11"/>
    <w:rsid w:val="0082255A"/>
    <w:rsid w:val="00822BA1"/>
    <w:rsid w:val="00824041"/>
    <w:rsid w:val="00826191"/>
    <w:rsid w:val="008268A9"/>
    <w:rsid w:val="00827B9B"/>
    <w:rsid w:val="00827EEC"/>
    <w:rsid w:val="008311C8"/>
    <w:rsid w:val="0084115E"/>
    <w:rsid w:val="0084128A"/>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6DB8"/>
    <w:rsid w:val="0089773A"/>
    <w:rsid w:val="008A26A9"/>
    <w:rsid w:val="008A2C29"/>
    <w:rsid w:val="008A2E92"/>
    <w:rsid w:val="008A7CC3"/>
    <w:rsid w:val="008B1088"/>
    <w:rsid w:val="008B3DFE"/>
    <w:rsid w:val="008B5D67"/>
    <w:rsid w:val="008B7647"/>
    <w:rsid w:val="008C2EAA"/>
    <w:rsid w:val="008C3128"/>
    <w:rsid w:val="008C68DF"/>
    <w:rsid w:val="008D08CF"/>
    <w:rsid w:val="008D0CCE"/>
    <w:rsid w:val="008D4F7C"/>
    <w:rsid w:val="008D6E81"/>
    <w:rsid w:val="008D7177"/>
    <w:rsid w:val="008E046E"/>
    <w:rsid w:val="008E1E06"/>
    <w:rsid w:val="008E4660"/>
    <w:rsid w:val="008F1051"/>
    <w:rsid w:val="008F1DE1"/>
    <w:rsid w:val="008F2339"/>
    <w:rsid w:val="008F2CAA"/>
    <w:rsid w:val="008F3A83"/>
    <w:rsid w:val="008F3BBC"/>
    <w:rsid w:val="008F5D9F"/>
    <w:rsid w:val="009034C4"/>
    <w:rsid w:val="00903C97"/>
    <w:rsid w:val="009041A7"/>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1DF7"/>
    <w:rsid w:val="0095496D"/>
    <w:rsid w:val="00954E2F"/>
    <w:rsid w:val="00962FCB"/>
    <w:rsid w:val="0097581C"/>
    <w:rsid w:val="00976D6E"/>
    <w:rsid w:val="009770D1"/>
    <w:rsid w:val="009849C6"/>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63BE"/>
    <w:rsid w:val="009D741C"/>
    <w:rsid w:val="009E3E3E"/>
    <w:rsid w:val="009E584A"/>
    <w:rsid w:val="009E6652"/>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57CBC"/>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1C4"/>
    <w:rsid w:val="00AC3671"/>
    <w:rsid w:val="00AC4450"/>
    <w:rsid w:val="00AC486B"/>
    <w:rsid w:val="00AC60E2"/>
    <w:rsid w:val="00AC6A4E"/>
    <w:rsid w:val="00AD10C2"/>
    <w:rsid w:val="00AD1E76"/>
    <w:rsid w:val="00AD1FAC"/>
    <w:rsid w:val="00AD3A89"/>
    <w:rsid w:val="00AD5AE0"/>
    <w:rsid w:val="00AD6365"/>
    <w:rsid w:val="00AD6B41"/>
    <w:rsid w:val="00AE06A3"/>
    <w:rsid w:val="00AE0756"/>
    <w:rsid w:val="00AF064A"/>
    <w:rsid w:val="00AF2358"/>
    <w:rsid w:val="00AF24EA"/>
    <w:rsid w:val="00AF272B"/>
    <w:rsid w:val="00AF3074"/>
    <w:rsid w:val="00AF328D"/>
    <w:rsid w:val="00AF3677"/>
    <w:rsid w:val="00AF4CD2"/>
    <w:rsid w:val="00AF7ABB"/>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873"/>
    <w:rsid w:val="00B25CC1"/>
    <w:rsid w:val="00B31FE0"/>
    <w:rsid w:val="00B33A06"/>
    <w:rsid w:val="00B33F50"/>
    <w:rsid w:val="00B34A0B"/>
    <w:rsid w:val="00B34AD2"/>
    <w:rsid w:val="00B35E3E"/>
    <w:rsid w:val="00B37F30"/>
    <w:rsid w:val="00B42E72"/>
    <w:rsid w:val="00B44AB6"/>
    <w:rsid w:val="00B4541C"/>
    <w:rsid w:val="00B45EE0"/>
    <w:rsid w:val="00B45F3A"/>
    <w:rsid w:val="00B4634F"/>
    <w:rsid w:val="00B468F1"/>
    <w:rsid w:val="00B47449"/>
    <w:rsid w:val="00B50483"/>
    <w:rsid w:val="00B511CD"/>
    <w:rsid w:val="00B52F1F"/>
    <w:rsid w:val="00B538D2"/>
    <w:rsid w:val="00B56405"/>
    <w:rsid w:val="00B56537"/>
    <w:rsid w:val="00B6612B"/>
    <w:rsid w:val="00B66570"/>
    <w:rsid w:val="00B71D80"/>
    <w:rsid w:val="00B73740"/>
    <w:rsid w:val="00B74EB0"/>
    <w:rsid w:val="00B75423"/>
    <w:rsid w:val="00B7749E"/>
    <w:rsid w:val="00B77960"/>
    <w:rsid w:val="00B80B0F"/>
    <w:rsid w:val="00B830BE"/>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039"/>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2F21"/>
    <w:rsid w:val="00C24AF2"/>
    <w:rsid w:val="00C25112"/>
    <w:rsid w:val="00C25B71"/>
    <w:rsid w:val="00C26369"/>
    <w:rsid w:val="00C31CFF"/>
    <w:rsid w:val="00C35B86"/>
    <w:rsid w:val="00C367F4"/>
    <w:rsid w:val="00C36E2B"/>
    <w:rsid w:val="00C41737"/>
    <w:rsid w:val="00C446A0"/>
    <w:rsid w:val="00C4522A"/>
    <w:rsid w:val="00C472E7"/>
    <w:rsid w:val="00C475FB"/>
    <w:rsid w:val="00C47DC8"/>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1868"/>
    <w:rsid w:val="00C93075"/>
    <w:rsid w:val="00C942CD"/>
    <w:rsid w:val="00C96B4E"/>
    <w:rsid w:val="00CA1A7F"/>
    <w:rsid w:val="00CA2C38"/>
    <w:rsid w:val="00CB0CF9"/>
    <w:rsid w:val="00CB16C7"/>
    <w:rsid w:val="00CB1763"/>
    <w:rsid w:val="00CB2E36"/>
    <w:rsid w:val="00CB5482"/>
    <w:rsid w:val="00CC11F9"/>
    <w:rsid w:val="00CC1FD0"/>
    <w:rsid w:val="00CC28D4"/>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2D04"/>
    <w:rsid w:val="00D1564D"/>
    <w:rsid w:val="00D222A7"/>
    <w:rsid w:val="00D2270C"/>
    <w:rsid w:val="00D247D2"/>
    <w:rsid w:val="00D25D33"/>
    <w:rsid w:val="00D261F0"/>
    <w:rsid w:val="00D308CB"/>
    <w:rsid w:val="00D31893"/>
    <w:rsid w:val="00D31C6B"/>
    <w:rsid w:val="00D321FC"/>
    <w:rsid w:val="00D3278F"/>
    <w:rsid w:val="00D35E68"/>
    <w:rsid w:val="00D36ADF"/>
    <w:rsid w:val="00D46BEA"/>
    <w:rsid w:val="00D479F7"/>
    <w:rsid w:val="00D50A18"/>
    <w:rsid w:val="00D53CF3"/>
    <w:rsid w:val="00D624A1"/>
    <w:rsid w:val="00D6338D"/>
    <w:rsid w:val="00D6685C"/>
    <w:rsid w:val="00D67AFD"/>
    <w:rsid w:val="00D76268"/>
    <w:rsid w:val="00D77566"/>
    <w:rsid w:val="00D7777E"/>
    <w:rsid w:val="00D80ED9"/>
    <w:rsid w:val="00D81B22"/>
    <w:rsid w:val="00D81C6D"/>
    <w:rsid w:val="00D85459"/>
    <w:rsid w:val="00D8748D"/>
    <w:rsid w:val="00D918C7"/>
    <w:rsid w:val="00D91F74"/>
    <w:rsid w:val="00D9200B"/>
    <w:rsid w:val="00D92049"/>
    <w:rsid w:val="00D93749"/>
    <w:rsid w:val="00D9581A"/>
    <w:rsid w:val="00D96D0D"/>
    <w:rsid w:val="00DA2274"/>
    <w:rsid w:val="00DA6FE6"/>
    <w:rsid w:val="00DA70B9"/>
    <w:rsid w:val="00DA7707"/>
    <w:rsid w:val="00DB0251"/>
    <w:rsid w:val="00DC237A"/>
    <w:rsid w:val="00DC3175"/>
    <w:rsid w:val="00DC5A95"/>
    <w:rsid w:val="00DD181C"/>
    <w:rsid w:val="00DD25CB"/>
    <w:rsid w:val="00DD2B04"/>
    <w:rsid w:val="00DD3CA7"/>
    <w:rsid w:val="00DD53CB"/>
    <w:rsid w:val="00DD7AA9"/>
    <w:rsid w:val="00DE0A34"/>
    <w:rsid w:val="00DE1DAC"/>
    <w:rsid w:val="00DE5B9C"/>
    <w:rsid w:val="00DF2148"/>
    <w:rsid w:val="00DF4B46"/>
    <w:rsid w:val="00DF4F49"/>
    <w:rsid w:val="00E00E81"/>
    <w:rsid w:val="00E02A67"/>
    <w:rsid w:val="00E060D7"/>
    <w:rsid w:val="00E06BB6"/>
    <w:rsid w:val="00E075F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47A"/>
    <w:rsid w:val="00E35902"/>
    <w:rsid w:val="00E36070"/>
    <w:rsid w:val="00E43CD3"/>
    <w:rsid w:val="00E45BE5"/>
    <w:rsid w:val="00E46AA6"/>
    <w:rsid w:val="00E506D9"/>
    <w:rsid w:val="00E50C06"/>
    <w:rsid w:val="00E518DD"/>
    <w:rsid w:val="00E53638"/>
    <w:rsid w:val="00E63FA3"/>
    <w:rsid w:val="00E642FA"/>
    <w:rsid w:val="00E661F4"/>
    <w:rsid w:val="00E6634A"/>
    <w:rsid w:val="00E67FAB"/>
    <w:rsid w:val="00E705EF"/>
    <w:rsid w:val="00E74ED7"/>
    <w:rsid w:val="00E75B6B"/>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D62CE"/>
    <w:rsid w:val="00EE26FB"/>
    <w:rsid w:val="00EF2B78"/>
    <w:rsid w:val="00EF4332"/>
    <w:rsid w:val="00EF6001"/>
    <w:rsid w:val="00EF6718"/>
    <w:rsid w:val="00EF7677"/>
    <w:rsid w:val="00F01D66"/>
    <w:rsid w:val="00F03208"/>
    <w:rsid w:val="00F06D65"/>
    <w:rsid w:val="00F155B5"/>
    <w:rsid w:val="00F15E19"/>
    <w:rsid w:val="00F178B4"/>
    <w:rsid w:val="00F17D48"/>
    <w:rsid w:val="00F20496"/>
    <w:rsid w:val="00F27BD5"/>
    <w:rsid w:val="00F33F8F"/>
    <w:rsid w:val="00F36A57"/>
    <w:rsid w:val="00F40C17"/>
    <w:rsid w:val="00F44BAD"/>
    <w:rsid w:val="00F45969"/>
    <w:rsid w:val="00F5127C"/>
    <w:rsid w:val="00F5237E"/>
    <w:rsid w:val="00F5385B"/>
    <w:rsid w:val="00F53D16"/>
    <w:rsid w:val="00F54157"/>
    <w:rsid w:val="00F57491"/>
    <w:rsid w:val="00F60C67"/>
    <w:rsid w:val="00F6260E"/>
    <w:rsid w:val="00F653D6"/>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545"/>
    <w:rsid w:val="00FA165C"/>
    <w:rsid w:val="00FB1968"/>
    <w:rsid w:val="00FB40EC"/>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0C0502"/>
    <w:rsid w:val="015A1D63"/>
    <w:rsid w:val="01A16E8E"/>
    <w:rsid w:val="01AB5512"/>
    <w:rsid w:val="02535CBD"/>
    <w:rsid w:val="02D84229"/>
    <w:rsid w:val="038C76D9"/>
    <w:rsid w:val="041E22FB"/>
    <w:rsid w:val="045C354F"/>
    <w:rsid w:val="049F168E"/>
    <w:rsid w:val="04BB7ED2"/>
    <w:rsid w:val="053E4A03"/>
    <w:rsid w:val="054A15F9"/>
    <w:rsid w:val="06305825"/>
    <w:rsid w:val="06D5093D"/>
    <w:rsid w:val="074402CA"/>
    <w:rsid w:val="075E138C"/>
    <w:rsid w:val="0843749E"/>
    <w:rsid w:val="08D86F1C"/>
    <w:rsid w:val="0A2C74AD"/>
    <w:rsid w:val="0A48452A"/>
    <w:rsid w:val="0A4A209B"/>
    <w:rsid w:val="0A4F1460"/>
    <w:rsid w:val="0A9A6B7F"/>
    <w:rsid w:val="0B310B66"/>
    <w:rsid w:val="0BEF6A57"/>
    <w:rsid w:val="0C01678A"/>
    <w:rsid w:val="0C826E5F"/>
    <w:rsid w:val="0D2F21E6"/>
    <w:rsid w:val="0D5F7C0C"/>
    <w:rsid w:val="0D682F64"/>
    <w:rsid w:val="0D732B2C"/>
    <w:rsid w:val="0DE325EB"/>
    <w:rsid w:val="0E1108AC"/>
    <w:rsid w:val="0E224237"/>
    <w:rsid w:val="0E423199"/>
    <w:rsid w:val="0E67500D"/>
    <w:rsid w:val="0EAA0375"/>
    <w:rsid w:val="0EC8358F"/>
    <w:rsid w:val="0ED2440E"/>
    <w:rsid w:val="0F3D21CF"/>
    <w:rsid w:val="0F5509B0"/>
    <w:rsid w:val="0F8C0A60"/>
    <w:rsid w:val="108452C1"/>
    <w:rsid w:val="10A73DA4"/>
    <w:rsid w:val="10E20499"/>
    <w:rsid w:val="116A6D7C"/>
    <w:rsid w:val="11A9611E"/>
    <w:rsid w:val="12086AC4"/>
    <w:rsid w:val="1248188D"/>
    <w:rsid w:val="1272041A"/>
    <w:rsid w:val="12A232C0"/>
    <w:rsid w:val="132D60B6"/>
    <w:rsid w:val="13983E78"/>
    <w:rsid w:val="13D53AA5"/>
    <w:rsid w:val="152F25BA"/>
    <w:rsid w:val="15BF16CB"/>
    <w:rsid w:val="17141A67"/>
    <w:rsid w:val="1739003E"/>
    <w:rsid w:val="17442A96"/>
    <w:rsid w:val="17461261"/>
    <w:rsid w:val="17944956"/>
    <w:rsid w:val="17B97ABD"/>
    <w:rsid w:val="18422604"/>
    <w:rsid w:val="18D314AE"/>
    <w:rsid w:val="18DA0A8E"/>
    <w:rsid w:val="18FA4C8D"/>
    <w:rsid w:val="19267830"/>
    <w:rsid w:val="1968322F"/>
    <w:rsid w:val="19CC6629"/>
    <w:rsid w:val="19EC6BD7"/>
    <w:rsid w:val="1A187AC0"/>
    <w:rsid w:val="1A424B3D"/>
    <w:rsid w:val="1A741289"/>
    <w:rsid w:val="1A7434AE"/>
    <w:rsid w:val="1ABD1DF6"/>
    <w:rsid w:val="1AF44089"/>
    <w:rsid w:val="1B1A2373"/>
    <w:rsid w:val="1B395F40"/>
    <w:rsid w:val="1BA522ED"/>
    <w:rsid w:val="1CEC0D90"/>
    <w:rsid w:val="1D1522F2"/>
    <w:rsid w:val="1D646B79"/>
    <w:rsid w:val="1D912C10"/>
    <w:rsid w:val="1DD12460"/>
    <w:rsid w:val="1E6C20F4"/>
    <w:rsid w:val="1EF1268E"/>
    <w:rsid w:val="1EFA3C38"/>
    <w:rsid w:val="1F5350F7"/>
    <w:rsid w:val="204213F3"/>
    <w:rsid w:val="208E5E96"/>
    <w:rsid w:val="2099122F"/>
    <w:rsid w:val="2120368E"/>
    <w:rsid w:val="21982431"/>
    <w:rsid w:val="21A50B57"/>
    <w:rsid w:val="225E003A"/>
    <w:rsid w:val="227635D6"/>
    <w:rsid w:val="23264FFC"/>
    <w:rsid w:val="23A44173"/>
    <w:rsid w:val="246456B0"/>
    <w:rsid w:val="247B4ED4"/>
    <w:rsid w:val="24CD1C80"/>
    <w:rsid w:val="27BD5803"/>
    <w:rsid w:val="2849353B"/>
    <w:rsid w:val="287D718B"/>
    <w:rsid w:val="289730BA"/>
    <w:rsid w:val="28A8200F"/>
    <w:rsid w:val="28AA222B"/>
    <w:rsid w:val="296F0D7F"/>
    <w:rsid w:val="29A9603F"/>
    <w:rsid w:val="29C4731D"/>
    <w:rsid w:val="29F73A25"/>
    <w:rsid w:val="2A135BAE"/>
    <w:rsid w:val="2B84745F"/>
    <w:rsid w:val="2BBC622D"/>
    <w:rsid w:val="2BD73F0E"/>
    <w:rsid w:val="2C273B93"/>
    <w:rsid w:val="2C602C01"/>
    <w:rsid w:val="2CD15DCE"/>
    <w:rsid w:val="2D245FEA"/>
    <w:rsid w:val="2D9554F2"/>
    <w:rsid w:val="2E00469C"/>
    <w:rsid w:val="2E2E745B"/>
    <w:rsid w:val="2ED07704"/>
    <w:rsid w:val="2F18654D"/>
    <w:rsid w:val="2F7B222C"/>
    <w:rsid w:val="307B625B"/>
    <w:rsid w:val="3140197F"/>
    <w:rsid w:val="317B3047"/>
    <w:rsid w:val="32766A06"/>
    <w:rsid w:val="32EE71B8"/>
    <w:rsid w:val="344515CE"/>
    <w:rsid w:val="36625EF3"/>
    <w:rsid w:val="36C7044C"/>
    <w:rsid w:val="371043AE"/>
    <w:rsid w:val="37E41DDD"/>
    <w:rsid w:val="382B67B9"/>
    <w:rsid w:val="382F0057"/>
    <w:rsid w:val="38F1355F"/>
    <w:rsid w:val="39900FC9"/>
    <w:rsid w:val="39B32692"/>
    <w:rsid w:val="39FE23D7"/>
    <w:rsid w:val="3A6B582A"/>
    <w:rsid w:val="3AA41AE8"/>
    <w:rsid w:val="3AC71D0D"/>
    <w:rsid w:val="3B48444D"/>
    <w:rsid w:val="3BC1546A"/>
    <w:rsid w:val="3CBA010B"/>
    <w:rsid w:val="3D8F1598"/>
    <w:rsid w:val="3E300685"/>
    <w:rsid w:val="3E496D17"/>
    <w:rsid w:val="3E5A1BA6"/>
    <w:rsid w:val="3EF9251F"/>
    <w:rsid w:val="3EFB6EE5"/>
    <w:rsid w:val="3F4C48CE"/>
    <w:rsid w:val="3F9D3335"/>
    <w:rsid w:val="3FEA4211"/>
    <w:rsid w:val="402E32EA"/>
    <w:rsid w:val="4069269E"/>
    <w:rsid w:val="42823479"/>
    <w:rsid w:val="42B14517"/>
    <w:rsid w:val="42B57D06"/>
    <w:rsid w:val="439F2829"/>
    <w:rsid w:val="43FC76CD"/>
    <w:rsid w:val="45233CAF"/>
    <w:rsid w:val="454D5FC1"/>
    <w:rsid w:val="46BC35D9"/>
    <w:rsid w:val="46D83FB0"/>
    <w:rsid w:val="46EB3CE3"/>
    <w:rsid w:val="47B24801"/>
    <w:rsid w:val="47C64868"/>
    <w:rsid w:val="47CA56A6"/>
    <w:rsid w:val="47E70106"/>
    <w:rsid w:val="480F755D"/>
    <w:rsid w:val="48286871"/>
    <w:rsid w:val="482E5121"/>
    <w:rsid w:val="488241D3"/>
    <w:rsid w:val="48911E16"/>
    <w:rsid w:val="4897331F"/>
    <w:rsid w:val="48CD7A4F"/>
    <w:rsid w:val="490B241B"/>
    <w:rsid w:val="498B60E9"/>
    <w:rsid w:val="49A40179"/>
    <w:rsid w:val="49C7002C"/>
    <w:rsid w:val="49DC7913"/>
    <w:rsid w:val="4A6022F2"/>
    <w:rsid w:val="4A6921BC"/>
    <w:rsid w:val="4B1135EE"/>
    <w:rsid w:val="4B276F4F"/>
    <w:rsid w:val="4BBE19C6"/>
    <w:rsid w:val="4C60482B"/>
    <w:rsid w:val="4C765DFD"/>
    <w:rsid w:val="4E1D32BD"/>
    <w:rsid w:val="4E481A1B"/>
    <w:rsid w:val="4EEE4370"/>
    <w:rsid w:val="4F075432"/>
    <w:rsid w:val="4FEE65F2"/>
    <w:rsid w:val="50493828"/>
    <w:rsid w:val="513B5867"/>
    <w:rsid w:val="51F577C4"/>
    <w:rsid w:val="523C53F3"/>
    <w:rsid w:val="543852FB"/>
    <w:rsid w:val="5577174D"/>
    <w:rsid w:val="56093997"/>
    <w:rsid w:val="56332FB1"/>
    <w:rsid w:val="568A2E25"/>
    <w:rsid w:val="56BE0ACC"/>
    <w:rsid w:val="57081D47"/>
    <w:rsid w:val="57262899"/>
    <w:rsid w:val="572B1A2F"/>
    <w:rsid w:val="57560381"/>
    <w:rsid w:val="58306F9A"/>
    <w:rsid w:val="58564D34"/>
    <w:rsid w:val="58BA1767"/>
    <w:rsid w:val="58FA61CD"/>
    <w:rsid w:val="591E1CF6"/>
    <w:rsid w:val="597638E0"/>
    <w:rsid w:val="5A0C7DA1"/>
    <w:rsid w:val="5A751DEA"/>
    <w:rsid w:val="5A9600C8"/>
    <w:rsid w:val="5AC266B1"/>
    <w:rsid w:val="5BCA7F13"/>
    <w:rsid w:val="5BF40AEC"/>
    <w:rsid w:val="5C1271C4"/>
    <w:rsid w:val="5C91458D"/>
    <w:rsid w:val="5D1D22C5"/>
    <w:rsid w:val="5D8D11F8"/>
    <w:rsid w:val="5DFF6AED"/>
    <w:rsid w:val="5E1F0D3F"/>
    <w:rsid w:val="5F323FDE"/>
    <w:rsid w:val="5FBF1411"/>
    <w:rsid w:val="600F4147"/>
    <w:rsid w:val="60341DFF"/>
    <w:rsid w:val="610619ED"/>
    <w:rsid w:val="61C947C9"/>
    <w:rsid w:val="61D770D4"/>
    <w:rsid w:val="626B762E"/>
    <w:rsid w:val="63085EC5"/>
    <w:rsid w:val="6361115D"/>
    <w:rsid w:val="64516CD9"/>
    <w:rsid w:val="64882719"/>
    <w:rsid w:val="649E3D74"/>
    <w:rsid w:val="652341F0"/>
    <w:rsid w:val="653603C7"/>
    <w:rsid w:val="658F4C0E"/>
    <w:rsid w:val="65D31C24"/>
    <w:rsid w:val="661A1A97"/>
    <w:rsid w:val="67002A3B"/>
    <w:rsid w:val="674C6628"/>
    <w:rsid w:val="675A65EF"/>
    <w:rsid w:val="68080793"/>
    <w:rsid w:val="68580655"/>
    <w:rsid w:val="68D8137E"/>
    <w:rsid w:val="68E50599"/>
    <w:rsid w:val="692C3FBB"/>
    <w:rsid w:val="6A1A02B8"/>
    <w:rsid w:val="6B4639FD"/>
    <w:rsid w:val="6C1A459F"/>
    <w:rsid w:val="6C553829"/>
    <w:rsid w:val="6D0F39D8"/>
    <w:rsid w:val="6DB85E1E"/>
    <w:rsid w:val="6E2816DE"/>
    <w:rsid w:val="6E3F7887"/>
    <w:rsid w:val="6E70494A"/>
    <w:rsid w:val="6F0230C8"/>
    <w:rsid w:val="6FFF2863"/>
    <w:rsid w:val="700F0193"/>
    <w:rsid w:val="705A1D94"/>
    <w:rsid w:val="71125845"/>
    <w:rsid w:val="715A029C"/>
    <w:rsid w:val="72F53670"/>
    <w:rsid w:val="73701EFD"/>
    <w:rsid w:val="738F4DA6"/>
    <w:rsid w:val="73B451E2"/>
    <w:rsid w:val="74485A21"/>
    <w:rsid w:val="749534C9"/>
    <w:rsid w:val="74AE150D"/>
    <w:rsid w:val="74D177C5"/>
    <w:rsid w:val="74F811F5"/>
    <w:rsid w:val="75137B94"/>
    <w:rsid w:val="75175B20"/>
    <w:rsid w:val="752835FA"/>
    <w:rsid w:val="75A35605"/>
    <w:rsid w:val="75EC353E"/>
    <w:rsid w:val="77562203"/>
    <w:rsid w:val="77974CF6"/>
    <w:rsid w:val="786C6182"/>
    <w:rsid w:val="786C6E8A"/>
    <w:rsid w:val="7878534F"/>
    <w:rsid w:val="78E51A91"/>
    <w:rsid w:val="79393B8B"/>
    <w:rsid w:val="7A0D370B"/>
    <w:rsid w:val="7A707A80"/>
    <w:rsid w:val="7AFF483D"/>
    <w:rsid w:val="7B000FCE"/>
    <w:rsid w:val="7B334D35"/>
    <w:rsid w:val="7B520BBC"/>
    <w:rsid w:val="7C1E59E5"/>
    <w:rsid w:val="7C552234"/>
    <w:rsid w:val="7C7B1EAF"/>
    <w:rsid w:val="7D4E6C16"/>
    <w:rsid w:val="7D787377"/>
    <w:rsid w:val="7D7D0EC6"/>
    <w:rsid w:val="7E4F0F31"/>
    <w:rsid w:val="7E634DFE"/>
    <w:rsid w:val="7EAF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8"/>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9"/>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0"/>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2"/>
    <w:qFormat/>
    <w:uiPriority w:val="0"/>
    <w:pPr>
      <w:jc w:val="left"/>
    </w:pPr>
    <w:rPr>
      <w:snapToGrid/>
      <w:sz w:val="21"/>
      <w:szCs w:val="22"/>
    </w:rPr>
  </w:style>
  <w:style w:type="paragraph" w:styleId="7">
    <w:name w:val="Body Text"/>
    <w:basedOn w:val="1"/>
    <w:link w:val="33"/>
    <w:qFormat/>
    <w:uiPriority w:val="0"/>
    <w:rPr>
      <w:snapToGrid/>
      <w:color w:val="FF0000"/>
      <w:kern w:val="0"/>
      <w:sz w:val="20"/>
    </w:rPr>
  </w:style>
  <w:style w:type="paragraph" w:styleId="8">
    <w:name w:val="Body Text Indent"/>
    <w:basedOn w:val="1"/>
    <w:link w:val="34"/>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5"/>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6"/>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7"/>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8"/>
    <w:semiHidden/>
    <w:qFormat/>
    <w:uiPriority w:val="0"/>
    <w:rPr>
      <w:sz w:val="18"/>
      <w:szCs w:val="18"/>
    </w:rPr>
  </w:style>
  <w:style w:type="paragraph" w:styleId="13">
    <w:name w:val="footer"/>
    <w:basedOn w:val="1"/>
    <w:link w:val="39"/>
    <w:qFormat/>
    <w:uiPriority w:val="0"/>
    <w:pPr>
      <w:tabs>
        <w:tab w:val="center" w:pos="4153"/>
        <w:tab w:val="right" w:pos="8306"/>
      </w:tabs>
      <w:jc w:val="left"/>
    </w:pPr>
    <w:rPr>
      <w:snapToGrid/>
      <w:kern w:val="0"/>
      <w:sz w:val="18"/>
      <w:szCs w:val="18"/>
    </w:rPr>
  </w:style>
  <w:style w:type="paragraph" w:styleId="14">
    <w:name w:val="header"/>
    <w:basedOn w:val="1"/>
    <w:link w:val="40"/>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99"/>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1"/>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2"/>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Emphasis"/>
    <w:basedOn w:val="21"/>
    <w:qFormat/>
    <w:uiPriority w:val="20"/>
    <w:rPr>
      <w:i/>
      <w:iCs/>
    </w:rPr>
  </w:style>
  <w:style w:type="character" w:styleId="26">
    <w:name w:val="Hyperlink"/>
    <w:qFormat/>
    <w:uiPriority w:val="0"/>
    <w:rPr>
      <w:color w:val="0000FF"/>
      <w:u w:val="single"/>
    </w:rPr>
  </w:style>
  <w:style w:type="character" w:styleId="27">
    <w:name w:val="annotation reference"/>
    <w:semiHidden/>
    <w:qFormat/>
    <w:uiPriority w:val="0"/>
    <w:rPr>
      <w:sz w:val="21"/>
    </w:rPr>
  </w:style>
  <w:style w:type="character" w:customStyle="1" w:styleId="28">
    <w:name w:val="标题 1 字符"/>
    <w:link w:val="2"/>
    <w:qFormat/>
    <w:locked/>
    <w:uiPriority w:val="0"/>
    <w:rPr>
      <w:rFonts w:eastAsia="宋体"/>
      <w:b/>
      <w:bCs/>
      <w:kern w:val="44"/>
      <w:sz w:val="44"/>
      <w:szCs w:val="44"/>
      <w:lang w:val="en-US" w:eastAsia="zh-CN" w:bidi="ar-SA"/>
    </w:rPr>
  </w:style>
  <w:style w:type="character" w:customStyle="1" w:styleId="29">
    <w:name w:val="标题 2 字符"/>
    <w:link w:val="3"/>
    <w:qFormat/>
    <w:locked/>
    <w:uiPriority w:val="0"/>
    <w:rPr>
      <w:rFonts w:ascii="Arial" w:hAnsi="Arial" w:eastAsia="黑体" w:cs="Arial"/>
      <w:b/>
      <w:bCs/>
      <w:kern w:val="2"/>
      <w:sz w:val="32"/>
      <w:szCs w:val="32"/>
      <w:lang w:val="en-US" w:eastAsia="zh-CN" w:bidi="ar-SA"/>
    </w:rPr>
  </w:style>
  <w:style w:type="character" w:customStyle="1" w:styleId="30">
    <w:name w:val="标题 3 字符"/>
    <w:link w:val="4"/>
    <w:semiHidden/>
    <w:qFormat/>
    <w:locked/>
    <w:uiPriority w:val="0"/>
    <w:rPr>
      <w:rFonts w:eastAsia="宋体"/>
      <w:b/>
      <w:bCs/>
      <w:kern w:val="2"/>
      <w:sz w:val="32"/>
      <w:szCs w:val="32"/>
      <w:lang w:val="en-US" w:eastAsia="zh-CN" w:bidi="ar-SA"/>
    </w:rPr>
  </w:style>
  <w:style w:type="character" w:customStyle="1" w:styleId="31">
    <w:name w:val="文档结构图 字符"/>
    <w:link w:val="5"/>
    <w:qFormat/>
    <w:locked/>
    <w:uiPriority w:val="0"/>
    <w:rPr>
      <w:rFonts w:eastAsia="宋体"/>
      <w:kern w:val="2"/>
      <w:sz w:val="24"/>
      <w:szCs w:val="24"/>
      <w:lang w:val="en-US" w:eastAsia="zh-CN" w:bidi="ar-SA"/>
    </w:rPr>
  </w:style>
  <w:style w:type="character" w:customStyle="1" w:styleId="32">
    <w:name w:val="批注文字 字符"/>
    <w:link w:val="6"/>
    <w:qFormat/>
    <w:uiPriority w:val="0"/>
    <w:rPr>
      <w:kern w:val="2"/>
      <w:sz w:val="21"/>
      <w:szCs w:val="22"/>
    </w:rPr>
  </w:style>
  <w:style w:type="character" w:customStyle="1" w:styleId="33">
    <w:name w:val="正文文本 字符"/>
    <w:link w:val="7"/>
    <w:qFormat/>
    <w:locked/>
    <w:uiPriority w:val="0"/>
    <w:rPr>
      <w:color w:val="FF0000"/>
      <w:szCs w:val="21"/>
    </w:rPr>
  </w:style>
  <w:style w:type="character" w:customStyle="1" w:styleId="34">
    <w:name w:val="正文文本缩进 字符"/>
    <w:link w:val="8"/>
    <w:qFormat/>
    <w:locked/>
    <w:uiPriority w:val="0"/>
    <w:rPr>
      <w:rFonts w:eastAsia="宋体"/>
      <w:kern w:val="2"/>
      <w:sz w:val="21"/>
      <w:szCs w:val="21"/>
      <w:lang w:val="en-US" w:eastAsia="zh-CN" w:bidi="ar-SA"/>
    </w:rPr>
  </w:style>
  <w:style w:type="character" w:customStyle="1" w:styleId="35">
    <w:name w:val="纯文本 字符"/>
    <w:link w:val="9"/>
    <w:qFormat/>
    <w:locked/>
    <w:uiPriority w:val="0"/>
    <w:rPr>
      <w:rFonts w:ascii="宋体" w:hAnsi="Courier New"/>
      <w:kern w:val="2"/>
      <w:sz w:val="21"/>
      <w:lang w:bidi="ar-SA"/>
    </w:rPr>
  </w:style>
  <w:style w:type="character" w:customStyle="1" w:styleId="36">
    <w:name w:val="日期 字符"/>
    <w:link w:val="10"/>
    <w:semiHidden/>
    <w:qFormat/>
    <w:locked/>
    <w:uiPriority w:val="0"/>
    <w:rPr>
      <w:rFonts w:eastAsia="宋体"/>
      <w:lang w:val="en-US" w:eastAsia="zh-CN" w:bidi="ar-SA"/>
    </w:rPr>
  </w:style>
  <w:style w:type="character" w:customStyle="1" w:styleId="37">
    <w:name w:val="正文文本缩进 2 字符"/>
    <w:link w:val="11"/>
    <w:qFormat/>
    <w:locked/>
    <w:uiPriority w:val="0"/>
    <w:rPr>
      <w:rFonts w:ascii="宋体"/>
      <w:kern w:val="2"/>
      <w:sz w:val="24"/>
      <w:lang w:bidi="ar-SA"/>
    </w:rPr>
  </w:style>
  <w:style w:type="character" w:customStyle="1" w:styleId="38">
    <w:name w:val="批注框文本 字符"/>
    <w:link w:val="12"/>
    <w:qFormat/>
    <w:locked/>
    <w:uiPriority w:val="0"/>
    <w:rPr>
      <w:rFonts w:eastAsia="宋体"/>
      <w:snapToGrid w:val="0"/>
      <w:kern w:val="2"/>
      <w:sz w:val="18"/>
      <w:szCs w:val="18"/>
      <w:lang w:val="en-US" w:eastAsia="zh-CN" w:bidi="ar-SA"/>
    </w:rPr>
  </w:style>
  <w:style w:type="character" w:customStyle="1" w:styleId="39">
    <w:name w:val="页脚 字符"/>
    <w:link w:val="13"/>
    <w:qFormat/>
    <w:uiPriority w:val="0"/>
    <w:rPr>
      <w:sz w:val="18"/>
      <w:szCs w:val="18"/>
    </w:rPr>
  </w:style>
  <w:style w:type="character" w:customStyle="1" w:styleId="40">
    <w:name w:val="页眉 字符"/>
    <w:link w:val="14"/>
    <w:qFormat/>
    <w:uiPriority w:val="0"/>
    <w:rPr>
      <w:sz w:val="18"/>
      <w:szCs w:val="18"/>
    </w:rPr>
  </w:style>
  <w:style w:type="character" w:customStyle="1" w:styleId="41">
    <w:name w:val="标题 字符"/>
    <w:link w:val="17"/>
    <w:qFormat/>
    <w:uiPriority w:val="0"/>
    <w:rPr>
      <w:rFonts w:ascii="Cambria" w:hAnsi="Cambria" w:cs="Times New Roman"/>
      <w:b/>
      <w:bCs/>
      <w:kern w:val="2"/>
      <w:sz w:val="32"/>
      <w:szCs w:val="32"/>
    </w:rPr>
  </w:style>
  <w:style w:type="character" w:customStyle="1" w:styleId="42">
    <w:name w:val="批注主题 字符"/>
    <w:link w:val="18"/>
    <w:qFormat/>
    <w:locked/>
    <w:uiPriority w:val="0"/>
    <w:rPr>
      <w:kern w:val="2"/>
      <w:sz w:val="24"/>
      <w:lang w:bidi="ar-SA"/>
    </w:rPr>
  </w:style>
  <w:style w:type="character" w:customStyle="1" w:styleId="43">
    <w:name w:val="正文文本缩进 2 Char"/>
    <w:link w:val="44"/>
    <w:qFormat/>
    <w:uiPriority w:val="0"/>
    <w:rPr>
      <w:kern w:val="2"/>
      <w:sz w:val="21"/>
      <w:szCs w:val="22"/>
    </w:rPr>
  </w:style>
  <w:style w:type="paragraph" w:customStyle="1" w:styleId="44">
    <w:name w:val="正文文本缩进 21"/>
    <w:basedOn w:val="1"/>
    <w:link w:val="43"/>
    <w:qFormat/>
    <w:uiPriority w:val="0"/>
    <w:pPr>
      <w:spacing w:after="120" w:line="480" w:lineRule="auto"/>
      <w:ind w:left="420" w:leftChars="200"/>
    </w:pPr>
    <w:rPr>
      <w:snapToGrid/>
      <w:sz w:val="21"/>
      <w:szCs w:val="22"/>
    </w:rPr>
  </w:style>
  <w:style w:type="character" w:customStyle="1" w:styleId="45">
    <w:name w:val="font31"/>
    <w:qFormat/>
    <w:uiPriority w:val="0"/>
    <w:rPr>
      <w:rFonts w:hint="eastAsia" w:ascii="宋体" w:hAnsi="宋体" w:eastAsia="宋体" w:cs="宋体"/>
      <w:color w:val="000000"/>
      <w:sz w:val="18"/>
      <w:szCs w:val="18"/>
      <w:u w:val="none"/>
    </w:rPr>
  </w:style>
  <w:style w:type="character" w:customStyle="1" w:styleId="46">
    <w:name w:val="批注框文本 Char Char Char"/>
    <w:link w:val="47"/>
    <w:qFormat/>
    <w:uiPriority w:val="0"/>
    <w:rPr>
      <w:kern w:val="2"/>
      <w:sz w:val="18"/>
      <w:szCs w:val="18"/>
    </w:rPr>
  </w:style>
  <w:style w:type="paragraph" w:customStyle="1" w:styleId="47">
    <w:name w:val="批注框文本 Char Char"/>
    <w:basedOn w:val="1"/>
    <w:link w:val="46"/>
    <w:qFormat/>
    <w:uiPriority w:val="0"/>
    <w:rPr>
      <w:snapToGrid/>
      <w:sz w:val="18"/>
      <w:szCs w:val="18"/>
    </w:rPr>
  </w:style>
  <w:style w:type="character" w:customStyle="1" w:styleId="48">
    <w:name w:val="apple-converted-space"/>
    <w:basedOn w:val="21"/>
    <w:qFormat/>
    <w:uiPriority w:val="0"/>
  </w:style>
  <w:style w:type="character" w:customStyle="1" w:styleId="49">
    <w:name w:val="Char Char6"/>
    <w:qFormat/>
    <w:uiPriority w:val="0"/>
    <w:rPr>
      <w:sz w:val="18"/>
      <w:szCs w:val="18"/>
      <w:lang w:bidi="ar-SA"/>
    </w:rPr>
  </w:style>
  <w:style w:type="character" w:customStyle="1" w:styleId="50">
    <w:name w:val="批注文字 Char"/>
    <w:qFormat/>
    <w:uiPriority w:val="0"/>
    <w:rPr>
      <w:rFonts w:eastAsia="宋体"/>
      <w:kern w:val="2"/>
      <w:sz w:val="24"/>
      <w:lang w:val="en-US" w:eastAsia="zh-CN"/>
    </w:rPr>
  </w:style>
  <w:style w:type="character" w:customStyle="1" w:styleId="51">
    <w:name w:val="批注引用1"/>
    <w:qFormat/>
    <w:uiPriority w:val="0"/>
    <w:rPr>
      <w:sz w:val="21"/>
      <w:szCs w:val="21"/>
    </w:rPr>
  </w:style>
  <w:style w:type="character" w:customStyle="1" w:styleId="52">
    <w:name w:val="Footer Char"/>
    <w:qFormat/>
    <w:locked/>
    <w:uiPriority w:val="0"/>
    <w:rPr>
      <w:kern w:val="2"/>
      <w:sz w:val="18"/>
    </w:rPr>
  </w:style>
  <w:style w:type="character" w:customStyle="1" w:styleId="53">
    <w:name w:val="List Paragraph Char"/>
    <w:link w:val="54"/>
    <w:qFormat/>
    <w:locked/>
    <w:uiPriority w:val="0"/>
    <w:rPr>
      <w:rFonts w:eastAsia="宋体"/>
      <w:snapToGrid w:val="0"/>
      <w:kern w:val="2"/>
      <w:sz w:val="24"/>
      <w:szCs w:val="21"/>
      <w:lang w:val="en-US" w:eastAsia="zh-CN" w:bidi="ar-SA"/>
    </w:rPr>
  </w:style>
  <w:style w:type="paragraph" w:customStyle="1" w:styleId="54">
    <w:name w:val="列出段落1"/>
    <w:basedOn w:val="1"/>
    <w:link w:val="53"/>
    <w:qFormat/>
    <w:uiPriority w:val="0"/>
    <w:pPr>
      <w:ind w:firstLine="420" w:firstLineChars="200"/>
    </w:pPr>
  </w:style>
  <w:style w:type="character" w:customStyle="1" w:styleId="55">
    <w:name w:val="样式 首行缩进:  2 字符 Char Char"/>
    <w:link w:val="56"/>
    <w:qFormat/>
    <w:uiPriority w:val="0"/>
    <w:rPr>
      <w:rFonts w:ascii="Times New Roman" w:hAnsi="Times New Roman" w:cs="宋体"/>
      <w:kern w:val="2"/>
      <w:sz w:val="21"/>
    </w:rPr>
  </w:style>
  <w:style w:type="paragraph" w:customStyle="1" w:styleId="56">
    <w:name w:val="样式 首行缩进:  2 字符"/>
    <w:basedOn w:val="1"/>
    <w:link w:val="55"/>
    <w:qFormat/>
    <w:uiPriority w:val="0"/>
    <w:pPr>
      <w:ind w:firstLine="200" w:firstLineChars="200"/>
    </w:pPr>
    <w:rPr>
      <w:snapToGrid/>
      <w:sz w:val="21"/>
      <w:szCs w:val="20"/>
    </w:rPr>
  </w:style>
  <w:style w:type="character" w:customStyle="1" w:styleId="57">
    <w:name w:val="Header Char"/>
    <w:qFormat/>
    <w:locked/>
    <w:uiPriority w:val="0"/>
    <w:rPr>
      <w:kern w:val="2"/>
      <w:sz w:val="18"/>
    </w:rPr>
  </w:style>
  <w:style w:type="character" w:customStyle="1" w:styleId="58">
    <w:name w:val="Font Style15"/>
    <w:qFormat/>
    <w:uiPriority w:val="0"/>
    <w:rPr>
      <w:rFonts w:ascii="Times New Roman" w:hAnsi="Times New Roman"/>
      <w:sz w:val="24"/>
    </w:rPr>
  </w:style>
  <w:style w:type="character" w:customStyle="1" w:styleId="59">
    <w:name w:val="Plain Text Char1"/>
    <w:semiHidden/>
    <w:qFormat/>
    <w:uiPriority w:val="0"/>
    <w:rPr>
      <w:rFonts w:ascii="宋体" w:hAnsi="Courier New"/>
      <w:sz w:val="21"/>
    </w:rPr>
  </w:style>
  <w:style w:type="character" w:customStyle="1" w:styleId="60">
    <w:name w:val="Title Char1"/>
    <w:qFormat/>
    <w:uiPriority w:val="0"/>
    <w:rPr>
      <w:rFonts w:ascii="Cambria" w:hAnsi="Cambria"/>
      <w:b/>
      <w:sz w:val="32"/>
    </w:rPr>
  </w:style>
  <w:style w:type="character" w:customStyle="1" w:styleId="61">
    <w:name w:val="Title Char"/>
    <w:qFormat/>
    <w:locked/>
    <w:uiPriority w:val="0"/>
    <w:rPr>
      <w:rFonts w:ascii="Cambria" w:hAnsi="Cambria" w:eastAsia="宋体"/>
      <w:b/>
      <w:kern w:val="2"/>
      <w:sz w:val="32"/>
      <w:lang w:val="en-US" w:eastAsia="zh-CN"/>
    </w:rPr>
  </w:style>
  <w:style w:type="character" w:customStyle="1" w:styleId="62">
    <w:name w:val="表文 Char"/>
    <w:link w:val="63"/>
    <w:qFormat/>
    <w:uiPriority w:val="0"/>
    <w:rPr>
      <w:rFonts w:eastAsia="宋体"/>
      <w:snapToGrid w:val="0"/>
      <w:kern w:val="2"/>
      <w:position w:val="10"/>
      <w:sz w:val="18"/>
      <w:szCs w:val="18"/>
      <w:lang w:val="en-US" w:eastAsia="zh-CN" w:bidi="ar-SA"/>
    </w:rPr>
  </w:style>
  <w:style w:type="paragraph" w:customStyle="1" w:styleId="63">
    <w:name w:val="表文"/>
    <w:basedOn w:val="1"/>
    <w:link w:val="62"/>
    <w:qFormat/>
    <w:uiPriority w:val="0"/>
    <w:pPr>
      <w:tabs>
        <w:tab w:val="left" w:pos="426"/>
        <w:tab w:val="left" w:pos="709"/>
      </w:tabs>
      <w:spacing w:line="320" w:lineRule="atLeast"/>
      <w:ind w:firstLine="0"/>
    </w:pPr>
    <w:rPr>
      <w:position w:val="10"/>
      <w:sz w:val="18"/>
      <w:szCs w:val="18"/>
    </w:rPr>
  </w:style>
  <w:style w:type="character" w:customStyle="1" w:styleId="64">
    <w:name w:val="纯文本 Char"/>
    <w:link w:val="65"/>
    <w:qFormat/>
    <w:uiPriority w:val="0"/>
    <w:rPr>
      <w:rFonts w:ascii="宋体" w:hAnsi="Courier New" w:cs="Courier New"/>
      <w:kern w:val="2"/>
      <w:sz w:val="21"/>
      <w:szCs w:val="21"/>
    </w:rPr>
  </w:style>
  <w:style w:type="paragraph" w:customStyle="1" w:styleId="65">
    <w:name w:val="纯文本1"/>
    <w:basedOn w:val="1"/>
    <w:link w:val="64"/>
    <w:qFormat/>
    <w:uiPriority w:val="0"/>
    <w:rPr>
      <w:rFonts w:ascii="宋体" w:hAnsi="Courier New"/>
      <w:snapToGrid/>
      <w:sz w:val="21"/>
    </w:rPr>
  </w:style>
  <w:style w:type="character" w:customStyle="1" w:styleId="66">
    <w:name w:val="Char Char7"/>
    <w:qFormat/>
    <w:uiPriority w:val="0"/>
    <w:rPr>
      <w:sz w:val="18"/>
      <w:szCs w:val="18"/>
      <w:lang w:bidi="ar-SA"/>
    </w:rPr>
  </w:style>
  <w:style w:type="character" w:customStyle="1" w:styleId="67">
    <w:name w:val="正文文本缩进 Char"/>
    <w:link w:val="68"/>
    <w:qFormat/>
    <w:uiPriority w:val="0"/>
    <w:rPr>
      <w:kern w:val="2"/>
      <w:sz w:val="21"/>
      <w:szCs w:val="22"/>
    </w:rPr>
  </w:style>
  <w:style w:type="paragraph" w:customStyle="1" w:styleId="68">
    <w:name w:val="正文文本缩进1"/>
    <w:basedOn w:val="1"/>
    <w:link w:val="67"/>
    <w:qFormat/>
    <w:uiPriority w:val="0"/>
    <w:pPr>
      <w:spacing w:after="120"/>
      <w:ind w:left="420" w:leftChars="200"/>
    </w:pPr>
    <w:rPr>
      <w:snapToGrid/>
      <w:sz w:val="21"/>
      <w:szCs w:val="22"/>
    </w:rPr>
  </w:style>
  <w:style w:type="character" w:customStyle="1" w:styleId="69">
    <w:name w:val="Char Char"/>
    <w:qFormat/>
    <w:uiPriority w:val="0"/>
    <w:rPr>
      <w:rFonts w:eastAsia="宋体"/>
      <w:kern w:val="2"/>
      <w:sz w:val="18"/>
      <w:lang w:val="en-US" w:eastAsia="zh-CN"/>
    </w:rPr>
  </w:style>
  <w:style w:type="character" w:customStyle="1" w:styleId="70">
    <w:name w:val="表内容 Char"/>
    <w:link w:val="71"/>
    <w:qFormat/>
    <w:locked/>
    <w:uiPriority w:val="0"/>
    <w:rPr>
      <w:rFonts w:ascii="宋体" w:eastAsia="宋体" w:cs="宋体"/>
      <w:sz w:val="18"/>
      <w:szCs w:val="18"/>
      <w:lang w:val="en-US" w:eastAsia="zh-CN" w:bidi="ar-SA"/>
    </w:rPr>
  </w:style>
  <w:style w:type="paragraph" w:customStyle="1" w:styleId="71">
    <w:name w:val="表内容"/>
    <w:basedOn w:val="1"/>
    <w:link w:val="70"/>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2">
    <w:name w:val="Char Char1"/>
    <w:qFormat/>
    <w:uiPriority w:val="0"/>
    <w:rPr>
      <w:rFonts w:eastAsia="宋体"/>
      <w:kern w:val="2"/>
      <w:sz w:val="18"/>
      <w:lang w:val="en-US" w:eastAsia="zh-CN"/>
    </w:rPr>
  </w:style>
  <w:style w:type="character" w:customStyle="1" w:styleId="73">
    <w:name w:val="批注主题 Char"/>
    <w:link w:val="74"/>
    <w:uiPriority w:val="0"/>
    <w:rPr>
      <w:b/>
      <w:bCs/>
      <w:kern w:val="2"/>
      <w:sz w:val="21"/>
      <w:szCs w:val="22"/>
    </w:rPr>
  </w:style>
  <w:style w:type="paragraph" w:customStyle="1" w:styleId="74">
    <w:name w:val="批注主题1"/>
    <w:basedOn w:val="6"/>
    <w:next w:val="6"/>
    <w:link w:val="73"/>
    <w:qFormat/>
    <w:uiPriority w:val="0"/>
    <w:rPr>
      <w:b/>
      <w:bCs/>
    </w:rPr>
  </w:style>
  <w:style w:type="character" w:customStyle="1" w:styleId="75">
    <w:name w:val="Body Text Indent 2 Char1"/>
    <w:semiHidden/>
    <w:qFormat/>
    <w:uiPriority w:val="0"/>
    <w:rPr>
      <w:sz w:val="24"/>
    </w:rPr>
  </w:style>
  <w:style w:type="character" w:customStyle="1" w:styleId="76">
    <w:name w:val="Comment Text Char"/>
    <w:qFormat/>
    <w:locked/>
    <w:uiPriority w:val="0"/>
    <w:rPr>
      <w:kern w:val="2"/>
      <w:sz w:val="24"/>
    </w:rPr>
  </w:style>
  <w:style w:type="character" w:customStyle="1" w:styleId="77">
    <w:name w:val="15"/>
    <w:qFormat/>
    <w:uiPriority w:val="0"/>
    <w:rPr>
      <w:rFonts w:ascii="Times New Roman" w:hAnsi="Times New Roman"/>
      <w:color w:val="auto"/>
      <w:sz w:val="20"/>
      <w:u w:val="none"/>
    </w:rPr>
  </w:style>
  <w:style w:type="character" w:customStyle="1" w:styleId="78">
    <w:name w:val="书籍标题1"/>
    <w:qFormat/>
    <w:uiPriority w:val="0"/>
    <w:rPr>
      <w:b/>
      <w:bCs/>
      <w:smallCaps/>
      <w:spacing w:val="5"/>
    </w:rPr>
  </w:style>
  <w:style w:type="paragraph" w:customStyle="1" w:styleId="79">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0">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1">
    <w:name w:val="xl69"/>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2">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3">
    <w:name w:val="Char Char1 Char Char Char Char"/>
    <w:basedOn w:val="1"/>
    <w:uiPriority w:val="0"/>
    <w:pPr>
      <w:topLinePunct w:val="0"/>
      <w:adjustRightInd/>
      <w:snapToGrid/>
      <w:spacing w:line="240" w:lineRule="auto"/>
      <w:ind w:firstLine="0"/>
    </w:pPr>
    <w:rPr>
      <w:snapToGrid/>
      <w:sz w:val="21"/>
    </w:rPr>
  </w:style>
  <w:style w:type="paragraph" w:customStyle="1" w:styleId="84">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5">
    <w:name w:val="p0"/>
    <w:basedOn w:val="1"/>
    <w:uiPriority w:val="0"/>
    <w:pPr>
      <w:widowControl/>
      <w:topLinePunct w:val="0"/>
      <w:adjustRightInd/>
      <w:snapToGrid/>
      <w:spacing w:line="240" w:lineRule="auto"/>
      <w:ind w:firstLine="0"/>
    </w:pPr>
    <w:rPr>
      <w:snapToGrid/>
      <w:kern w:val="0"/>
      <w:sz w:val="21"/>
    </w:rPr>
  </w:style>
  <w:style w:type="paragraph" w:customStyle="1" w:styleId="86">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0">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Char Char Char1 Char Char Char Char Char Char Char Char Char Char Char Char Char"/>
    <w:basedOn w:val="1"/>
    <w:qFormat/>
    <w:uiPriority w:val="0"/>
    <w:rPr>
      <w:rFonts w:ascii="Tahoma" w:hAnsi="Tahoma"/>
      <w:szCs w:val="20"/>
    </w:rPr>
  </w:style>
  <w:style w:type="paragraph" w:customStyle="1" w:styleId="97">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8">
    <w:name w:val="Char1"/>
    <w:basedOn w:val="1"/>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9">
    <w:name w:val="样式 表文 + 宋体 行距: 最小值 15 磅"/>
    <w:basedOn w:val="63"/>
    <w:qFormat/>
    <w:uiPriority w:val="0"/>
    <w:pPr>
      <w:spacing w:line="300" w:lineRule="atLeast"/>
    </w:pPr>
    <w:rPr>
      <w:rFonts w:cs="宋体"/>
      <w:kern w:val="0"/>
      <w:szCs w:val="20"/>
    </w:rPr>
  </w:style>
  <w:style w:type="paragraph" w:customStyle="1" w:styleId="10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3">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6">
    <w:name w:val="修订1"/>
    <w:qFormat/>
    <w:uiPriority w:val="0"/>
    <w:rPr>
      <w:rFonts w:ascii="Times New Roman" w:hAnsi="Times New Roman" w:eastAsia="宋体" w:cs="Times New Roman"/>
      <w:kern w:val="2"/>
      <w:sz w:val="21"/>
      <w:szCs w:val="22"/>
      <w:lang w:val="en-US" w:eastAsia="zh-CN" w:bidi="ar-SA"/>
    </w:rPr>
  </w:style>
  <w:style w:type="paragraph" w:customStyle="1" w:styleId="107">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8">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1">
    <w:name w:val="xl6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2">
    <w:name w:val="font8"/>
    <w:basedOn w:val="1"/>
    <w:uiPriority w:val="0"/>
    <w:pPr>
      <w:widowControl/>
      <w:spacing w:before="100" w:beforeAutospacing="1" w:after="100" w:afterAutospacing="1"/>
      <w:jc w:val="left"/>
    </w:pPr>
    <w:rPr>
      <w:rFonts w:ascii="宋体" w:hAnsi="宋体" w:cs="宋体"/>
      <w:color w:val="000000"/>
      <w:kern w:val="0"/>
      <w:szCs w:val="24"/>
    </w:rPr>
  </w:style>
  <w:style w:type="paragraph" w:styleId="113">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4">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5">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6">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9">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0">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2">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3">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4">
    <w:name w:val="黑体"/>
    <w:basedOn w:val="63"/>
    <w:qFormat/>
    <w:uiPriority w:val="0"/>
    <w:pPr>
      <w:spacing w:line="240" w:lineRule="auto"/>
      <w:jc w:val="center"/>
    </w:pPr>
    <w:rPr>
      <w:rFonts w:ascii="Arial" w:hAnsi="Arial" w:eastAsia="黑体"/>
    </w:rPr>
  </w:style>
  <w:style w:type="paragraph" w:customStyle="1" w:styleId="125">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6">
    <w:name w:val="正文文本 (2)_"/>
    <w:link w:val="127"/>
    <w:qFormat/>
    <w:uiPriority w:val="0"/>
    <w:rPr>
      <w:rFonts w:ascii="MingLiU" w:hAnsi="MingLiU" w:eastAsia="MingLiU" w:cs="MingLiU"/>
      <w:spacing w:val="20"/>
      <w:shd w:val="clear" w:color="auto" w:fill="FFFFFF"/>
    </w:rPr>
  </w:style>
  <w:style w:type="paragraph" w:customStyle="1" w:styleId="127">
    <w:name w:val="正文文本 (2)"/>
    <w:basedOn w:val="1"/>
    <w:link w:val="126"/>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8">
    <w:name w:val="表格标题_"/>
    <w:link w:val="129"/>
    <w:qFormat/>
    <w:uiPriority w:val="0"/>
    <w:rPr>
      <w:rFonts w:ascii="MingLiU" w:hAnsi="MingLiU" w:eastAsia="MingLiU" w:cs="MingLiU"/>
      <w:b/>
      <w:bCs/>
      <w:spacing w:val="30"/>
      <w:sz w:val="18"/>
      <w:szCs w:val="18"/>
      <w:shd w:val="clear" w:color="auto" w:fill="FFFFFF"/>
    </w:rPr>
  </w:style>
  <w:style w:type="paragraph" w:customStyle="1" w:styleId="129">
    <w:name w:val="表格标题"/>
    <w:basedOn w:val="1"/>
    <w:link w:val="128"/>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EE8AF8-F809-45E7-80DB-00A36B9BAC7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13897</Words>
  <Characters>14197</Characters>
  <Lines>101</Lines>
  <Paragraphs>28</Paragraphs>
  <TotalTime>5</TotalTime>
  <ScaleCrop>false</ScaleCrop>
  <LinksUpToDate>false</LinksUpToDate>
  <CharactersWithSpaces>14238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2023-08-28T01:40:21Z</dcterms:modified>
  <dc:title>中等职业学校计算机网络技术专业教学标准</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C98A03B3DB0B4A93B26E2DDBD8E7822B</vt:lpwstr>
  </property>
</Properties>
</file>