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autoSpaceDE/>
        <w:autoSpaceDN/>
        <w:bidi w:val="0"/>
        <w:adjustRightInd w:val="0"/>
        <w:snapToGrid/>
        <w:spacing w:line="660" w:lineRule="exact"/>
        <w:ind w:firstLine="0"/>
        <w:jc w:val="both"/>
        <w:textAlignment w:val="auto"/>
        <w:rPr>
          <w:rFonts w:ascii="方正小标宋简体" w:hAnsi="宋体" w:eastAsia="方正小标宋简体"/>
          <w:b/>
          <w:bCs/>
          <w:sz w:val="48"/>
          <w:szCs w:val="48"/>
        </w:rPr>
      </w:pPr>
    </w:p>
    <w:p>
      <w:pPr>
        <w:pStyle w:val="2"/>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b w:val="0"/>
          <w:bCs w:val="0"/>
          <w:sz w:val="48"/>
          <w:szCs w:val="48"/>
        </w:rPr>
      </w:pPr>
      <w:r>
        <w:rPr>
          <w:rFonts w:hint="eastAsia" w:ascii="华文中宋" w:hAnsi="华文中宋" w:eastAsia="华文中宋"/>
          <w:b w:val="0"/>
          <w:bCs w:val="0"/>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华文中宋" w:hAnsi="华文中宋" w:eastAsia="华文中宋"/>
          <w:b w:val="0"/>
          <w:bCs w:val="0"/>
          <w:sz w:val="48"/>
          <w:szCs w:val="48"/>
        </w:rPr>
      </w:pPr>
      <w:r>
        <w:rPr>
          <w:rFonts w:hint="eastAsia" w:ascii="华文中宋" w:hAnsi="华文中宋" w:eastAsia="华文中宋"/>
          <w:b w:val="0"/>
          <w:bCs w:val="0"/>
          <w:sz w:val="48"/>
          <w:szCs w:val="48"/>
        </w:rPr>
        <w:t>大数据技术应用专业人才培养方案</w:t>
      </w:r>
    </w:p>
    <w:p>
      <w:pPr>
        <w:spacing w:line="480" w:lineRule="auto"/>
        <w:rPr>
          <w:rFonts w:ascii="黑体" w:hAnsi="宋体" w:eastAsia="黑体"/>
          <w:b/>
          <w:bCs/>
          <w:sz w:val="52"/>
          <w:szCs w:val="52"/>
        </w:rPr>
      </w:pPr>
    </w:p>
    <w:p>
      <w:pPr>
        <w:spacing w:line="480" w:lineRule="auto"/>
        <w:rPr>
          <w:rFonts w:ascii="黑体" w:hAnsi="宋体" w:eastAsia="黑体"/>
          <w:sz w:val="52"/>
          <w:szCs w:val="52"/>
        </w:rPr>
      </w:pPr>
    </w:p>
    <w:p>
      <w:pPr>
        <w:pStyle w:val="2"/>
        <w:rPr>
          <w:rFonts w:ascii="黑体" w:hAnsi="宋体" w:eastAsia="黑体"/>
          <w:sz w:val="52"/>
          <w:szCs w:val="52"/>
        </w:rPr>
      </w:pPr>
    </w:p>
    <w:p>
      <w:pPr>
        <w:rPr>
          <w:rFonts w:ascii="黑体" w:hAnsi="宋体" w:eastAsia="黑体"/>
          <w:sz w:val="52"/>
          <w:szCs w:val="52"/>
        </w:rPr>
      </w:pPr>
    </w:p>
    <w:p>
      <w:pPr>
        <w:pStyle w:val="2"/>
      </w:pPr>
    </w:p>
    <w:p>
      <w:pPr>
        <w:pStyle w:val="2"/>
      </w:pPr>
    </w:p>
    <w:p>
      <w:pPr>
        <w:pStyle w:val="2"/>
        <w:rPr>
          <w:rFonts w:ascii="黑体" w:hAnsi="宋体" w:eastAsia="黑体"/>
          <w:sz w:val="52"/>
          <w:szCs w:val="52"/>
        </w:rPr>
      </w:pPr>
    </w:p>
    <w:p/>
    <w:p>
      <w:pPr>
        <w:spacing w:line="480" w:lineRule="auto"/>
        <w:rPr>
          <w:rFonts w:ascii="黑体" w:hAnsi="宋体" w:eastAsia="黑体"/>
          <w:sz w:val="52"/>
          <w:szCs w:val="52"/>
        </w:rPr>
      </w:pPr>
    </w:p>
    <w:p>
      <w:pPr>
        <w:pStyle w:val="2"/>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2023年5月</w:t>
      </w: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ind w:left="0" w:leftChars="0" w:firstLine="0" w:firstLineChars="0"/>
        <w:jc w:val="center"/>
        <w:rPr>
          <w:rFonts w:ascii="黑体" w:hAnsi="宋体" w:eastAsia="黑体"/>
          <w:b w:val="0"/>
          <w:bCs w:val="0"/>
          <w:sz w:val="32"/>
          <w:szCs w:val="32"/>
        </w:rPr>
      </w:pPr>
      <w:r>
        <w:rPr>
          <w:rFonts w:hint="eastAsia" w:ascii="黑体" w:hAnsi="黑体" w:eastAsia="黑体" w:cs="黑体"/>
          <w:b w:val="0"/>
          <w:bCs w:val="0"/>
          <w:sz w:val="32"/>
          <w:szCs w:val="32"/>
        </w:rPr>
        <w:t>目    录</w:t>
      </w:r>
    </w:p>
    <w:p>
      <w:pPr>
        <w:snapToGrid/>
        <w:spacing w:line="240" w:lineRule="auto"/>
        <w:jc w:val="center"/>
        <w:rPr>
          <w:rFonts w:ascii="黑体" w:hAnsi="黑体" w:eastAsia="黑体" w:cs="黑体"/>
          <w:b/>
          <w:bCs/>
          <w:sz w:val="32"/>
          <w:szCs w:val="32"/>
        </w:rPr>
      </w:pPr>
    </w:p>
    <w:p>
      <w:pPr>
        <w:pStyle w:val="101"/>
        <w:snapToGrid/>
        <w:spacing w:before="0" w:beforeLines="0" w:after="0" w:afterLines="0" w:line="48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2</w:t>
      </w:r>
      <w:r>
        <w:rPr>
          <w:rFonts w:ascii="Times New Roman" w:hAnsi="Times New Roman"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rPr>
        <w:t>2</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4</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7</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19</w:t>
      </w:r>
      <w:r>
        <w:rPr>
          <w:rFonts w:ascii="Times New Roman" w:hAnsi="Times New Roman"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 xml:space="preserve">九、毕业要求………………………………………………………………………………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83"/>
        <w:spacing w:before="800" w:beforeLines="200" w:after="800" w:afterLines="200"/>
        <w:rPr>
          <w:u w:val="none"/>
        </w:rPr>
      </w:pPr>
    </w:p>
    <w:p>
      <w:pPr>
        <w:pStyle w:val="83"/>
        <w:spacing w:before="800" w:beforeLines="200" w:after="800" w:afterLines="200"/>
        <w:rPr>
          <w:u w:val="none"/>
        </w:rPr>
      </w:pPr>
    </w:p>
    <w:p>
      <w:pPr>
        <w:pStyle w:val="83"/>
        <w:spacing w:before="800" w:beforeLines="200" w:after="800" w:afterLines="200"/>
        <w:rPr>
          <w:u w:val="none"/>
        </w:rPr>
      </w:pPr>
    </w:p>
    <w:p>
      <w:pPr>
        <w:pStyle w:val="101"/>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大数据技术应用专业人才培养方案</w:t>
      </w:r>
    </w:p>
    <w:p>
      <w:pPr>
        <w:pStyle w:val="101"/>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专业名称：大数据技术应用专业</w:t>
      </w:r>
    </w:p>
    <w:p>
      <w:pPr>
        <w:spacing w:line="560" w:lineRule="exact"/>
        <w:ind w:firstLine="1200" w:firstLineChars="400"/>
        <w:rPr>
          <w:rFonts w:ascii="仿宋" w:hAnsi="仿宋" w:eastAsia="仿宋" w:cs="仿宋"/>
          <w:color w:val="FF0000"/>
          <w:sz w:val="30"/>
          <w:szCs w:val="30"/>
        </w:rPr>
      </w:pPr>
      <w:r>
        <w:rPr>
          <w:rFonts w:hint="eastAsia" w:ascii="仿宋" w:hAnsi="仿宋" w:eastAsia="仿宋" w:cs="仿宋"/>
          <w:sz w:val="30"/>
          <w:szCs w:val="30"/>
        </w:rPr>
        <w:t>专业代码：710205</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28"/>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2438"/>
        <w:gridCol w:w="4005"/>
        <w:gridCol w:w="2545"/>
      </w:tblGrid>
      <w:tr>
        <w:tblPrEx>
          <w:tblCellMar>
            <w:top w:w="0" w:type="dxa"/>
            <w:left w:w="10" w:type="dxa"/>
            <w:bottom w:w="0" w:type="dxa"/>
            <w:right w:w="10" w:type="dxa"/>
          </w:tblCellMar>
        </w:tblPrEx>
        <w:trPr>
          <w:trHeight w:val="573" w:hRule="exact"/>
        </w:trPr>
        <w:tc>
          <w:tcPr>
            <w:tcW w:w="670" w:type="dxa"/>
            <w:tcBorders>
              <w:top w:val="single" w:color="auto" w:sz="4" w:space="0"/>
              <w:left w:val="single" w:color="auto" w:sz="4" w:space="0"/>
            </w:tcBorders>
            <w:shd w:val="clear" w:color="auto" w:fill="FFFFFF"/>
            <w:vAlign w:val="center"/>
          </w:tcPr>
          <w:p>
            <w:pPr>
              <w:pStyle w:val="126"/>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2438" w:type="dxa"/>
            <w:tcBorders>
              <w:top w:val="single" w:color="auto" w:sz="4" w:space="0"/>
              <w:left w:val="single" w:color="auto" w:sz="4" w:space="0"/>
            </w:tcBorders>
            <w:shd w:val="clear" w:color="auto" w:fill="FFFFFF"/>
            <w:vAlign w:val="center"/>
          </w:tcPr>
          <w:p>
            <w:pPr>
              <w:pStyle w:val="126"/>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005" w:type="dxa"/>
            <w:tcBorders>
              <w:top w:val="single" w:color="auto" w:sz="4" w:space="0"/>
              <w:left w:val="single" w:color="auto" w:sz="4" w:space="0"/>
            </w:tcBorders>
            <w:shd w:val="clear" w:color="auto" w:fill="FFFFFF"/>
            <w:vAlign w:val="center"/>
          </w:tcPr>
          <w:p>
            <w:pPr>
              <w:pStyle w:val="126"/>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545" w:type="dxa"/>
            <w:tcBorders>
              <w:top w:val="single" w:color="auto" w:sz="4" w:space="0"/>
              <w:left w:val="single" w:color="auto" w:sz="4" w:space="0"/>
              <w:right w:val="single" w:color="auto" w:sz="4" w:space="0"/>
            </w:tcBorders>
            <w:shd w:val="clear" w:color="auto" w:fill="FFFFFF"/>
            <w:vAlign w:val="center"/>
          </w:tcPr>
          <w:p>
            <w:pPr>
              <w:pStyle w:val="126"/>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vAlign w:val="center"/>
          </w:tcPr>
          <w:p>
            <w:pPr>
              <w:pStyle w:val="126"/>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2438" w:type="dxa"/>
            <w:tcBorders>
              <w:top w:val="single" w:color="auto" w:sz="4" w:space="0"/>
              <w:left w:val="single" w:color="auto" w:sz="4" w:space="0"/>
            </w:tcBorders>
            <w:shd w:val="clear" w:color="auto" w:fill="FFFFFF"/>
            <w:vAlign w:val="center"/>
          </w:tcPr>
          <w:p>
            <w:pPr>
              <w:pStyle w:val="126"/>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软件与信息技术服务业</w:t>
            </w:r>
          </w:p>
        </w:tc>
        <w:tc>
          <w:tcPr>
            <w:tcW w:w="4005" w:type="dxa"/>
            <w:tcBorders>
              <w:top w:val="single" w:color="auto" w:sz="4" w:space="0"/>
              <w:left w:val="single" w:color="auto" w:sz="4" w:space="0"/>
            </w:tcBorders>
            <w:shd w:val="clear" w:color="auto" w:fill="FFFFFF"/>
            <w:vAlign w:val="center"/>
          </w:tcPr>
          <w:p>
            <w:pPr>
              <w:pStyle w:val="126"/>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数据采集与处理</w:t>
            </w:r>
            <w:r>
              <w:rPr>
                <w:rFonts w:hint="eastAsia" w:ascii="仿宋" w:hAnsi="仿宋" w:eastAsia="仿宋" w:cs="仿宋"/>
                <w:color w:val="000000"/>
                <w:spacing w:val="0"/>
                <w:sz w:val="24"/>
                <w:szCs w:val="24"/>
                <w:lang w:val="zh-TW" w:bidi="zh-TW"/>
              </w:rPr>
              <w:t>、</w:t>
            </w:r>
            <w:r>
              <w:rPr>
                <w:rFonts w:hint="eastAsia" w:ascii="仿宋" w:hAnsi="仿宋" w:eastAsia="仿宋" w:cs="仿宋"/>
                <w:color w:val="000000"/>
                <w:spacing w:val="0"/>
                <w:sz w:val="24"/>
                <w:szCs w:val="24"/>
                <w:lang w:val="zh-TW" w:eastAsia="zh-TW" w:bidi="zh-TW"/>
              </w:rPr>
              <w:t>算法模型训练与测试</w:t>
            </w:r>
          </w:p>
        </w:tc>
        <w:tc>
          <w:tcPr>
            <w:tcW w:w="2545" w:type="dxa"/>
            <w:tcBorders>
              <w:top w:val="single" w:color="auto" w:sz="4" w:space="0"/>
              <w:left w:val="single" w:color="auto" w:sz="4" w:space="0"/>
              <w:right w:val="single" w:color="auto" w:sz="4" w:space="0"/>
            </w:tcBorders>
            <w:shd w:val="clear" w:color="auto" w:fill="FFFFFF"/>
            <w:vAlign w:val="center"/>
          </w:tcPr>
          <w:p>
            <w:pPr>
              <w:pStyle w:val="126"/>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计算机技术与软件专业技术资格</w:t>
            </w:r>
            <w:r>
              <w:rPr>
                <w:rFonts w:hint="eastAsia" w:ascii="仿宋" w:hAnsi="仿宋" w:eastAsia="仿宋" w:cs="仿宋"/>
                <w:spacing w:val="0"/>
                <w:sz w:val="24"/>
                <w:szCs w:val="24"/>
              </w:rPr>
              <w:t>证</w:t>
            </w:r>
          </w:p>
        </w:tc>
      </w:tr>
      <w:tr>
        <w:tblPrEx>
          <w:tblCellMar>
            <w:top w:w="0" w:type="dxa"/>
            <w:left w:w="10" w:type="dxa"/>
            <w:bottom w:w="0" w:type="dxa"/>
            <w:right w:w="10" w:type="dxa"/>
          </w:tblCellMar>
        </w:tblPrEx>
        <w:trPr>
          <w:trHeight w:val="11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2438"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480" w:lineRule="exact"/>
              <w:ind w:left="240"/>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互联网和相关服务</w:t>
            </w:r>
          </w:p>
        </w:tc>
        <w:tc>
          <w:tcPr>
            <w:tcW w:w="4005"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bidi="zh-TW"/>
              </w:rPr>
              <w:t>前端页面开发、</w:t>
            </w:r>
            <w:r>
              <w:rPr>
                <w:rFonts w:hint="eastAsia" w:ascii="仿宋" w:hAnsi="仿宋" w:eastAsia="仿宋" w:cs="仿宋"/>
                <w:sz w:val="24"/>
                <w:szCs w:val="24"/>
              </w:rPr>
              <w:t>HTML 网页设计</w:t>
            </w:r>
          </w:p>
        </w:tc>
        <w:tc>
          <w:tcPr>
            <w:tcW w:w="25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数据采集证书（初级）</w:t>
            </w:r>
          </w:p>
        </w:tc>
      </w:tr>
    </w:tbl>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56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本专业培养与河南大数据产业发展要求相适应，理想信念坚定，综合素质良好，德、智、体、美、劳全面发展，具有一定创新能力和良好职业道德，掌握计算机网络技术、Java 程序设计、Python 程序设计、HTML 网页设计、数据采集、数据预处理、数据可视化等本专业知识和技术技能，面向大数据行业，能够从事数据采集、大数据应用开发等高素质劳动者和技能型人才。</w:t>
      </w:r>
    </w:p>
    <w:p>
      <w:pPr>
        <w:numPr>
          <w:ilvl w:val="0"/>
          <w:numId w:val="1"/>
        </w:num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培养规格</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（1）坚定拥护中国共产党领导，在习近平新时代中国特色社会主义思想指引下，践行社会主义核心价值观，具有深厚的爱国情感和中华民族自豪感。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（2）崇尚宪法、遵法守纪、崇德向善、诚实守信、尊重生命、热爱劳动，履行道德准则和行为规范，具有社会责任感和社会参与意识。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（3）具有质量意识、环保意识、安全意识、信息素养、工匠精神、创新思维。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（4）具有自我管理能力、职业生涯规划的意识，有较强的集体意识和团队合作精神。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（5）具有健康的体魄、心理和健全的人格，掌握基本运动知识和一两项运动技能，养成良好的健身与卫生习惯，良好的行为习惯。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（6）具有一定的审美和人文素养，能够形成一两项艺术特长或爱好。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（7）具有健全的心理，具备稳定向上的情感力量，坚强恒久的意志力量，鲜明独特的人格力量。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大数据技术应用基础知识；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计算机网络维护基础知识；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计算机组装维护基础知识。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程序设计基础知识；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网页制作基础知识；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图像图像处理基础知识；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4 \* GB3 </w:instrText>
      </w:r>
      <w:r>
        <w:rPr>
          <w:rFonts w:hint="eastAsia" w:ascii="仿宋" w:hAnsi="仿宋" w:eastAsia="仿宋" w:cs="仿宋"/>
          <w:sz w:val="30"/>
          <w:szCs w:val="30"/>
        </w:rPr>
        <w:fldChar w:fldCharType="separate"/>
      </w:r>
      <w:r>
        <w:rPr>
          <w:rFonts w:hint="eastAsia" w:ascii="仿宋" w:hAnsi="仿宋" w:eastAsia="仿宋" w:cs="仿宋"/>
          <w:sz w:val="30"/>
          <w:szCs w:val="30"/>
        </w:rPr>
        <w:t>④</w:t>
      </w:r>
      <w:r>
        <w:rPr>
          <w:rFonts w:hint="eastAsia" w:ascii="仿宋" w:hAnsi="仿宋" w:eastAsia="仿宋" w:cs="仿宋"/>
          <w:sz w:val="30"/>
          <w:szCs w:val="30"/>
        </w:rPr>
        <w:fldChar w:fldCharType="end"/>
      </w:r>
      <w:r>
        <w:rPr>
          <w:rFonts w:hint="eastAsia" w:ascii="仿宋" w:hAnsi="仿宋" w:eastAsia="仿宋" w:cs="仿宋"/>
          <w:sz w:val="30"/>
          <w:szCs w:val="30"/>
        </w:rPr>
        <w:t>数据库基础知识；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5 \* GB3 </w:instrText>
      </w:r>
      <w:r>
        <w:rPr>
          <w:rFonts w:hint="eastAsia" w:ascii="仿宋" w:hAnsi="仿宋" w:eastAsia="仿宋" w:cs="仿宋"/>
          <w:sz w:val="30"/>
          <w:szCs w:val="30"/>
        </w:rPr>
        <w:fldChar w:fldCharType="separate"/>
      </w:r>
      <w:r>
        <w:rPr>
          <w:rFonts w:hint="eastAsia" w:ascii="仿宋" w:hAnsi="仿宋" w:eastAsia="仿宋" w:cs="仿宋"/>
          <w:sz w:val="30"/>
          <w:szCs w:val="30"/>
        </w:rPr>
        <w:t>⑤</w:t>
      </w:r>
      <w:r>
        <w:rPr>
          <w:rFonts w:hint="eastAsia" w:ascii="仿宋" w:hAnsi="仿宋" w:eastAsia="仿宋" w:cs="仿宋"/>
          <w:sz w:val="30"/>
          <w:szCs w:val="30"/>
        </w:rPr>
        <w:fldChar w:fldCharType="end"/>
      </w:r>
      <w:r>
        <w:rPr>
          <w:rFonts w:hint="eastAsia" w:ascii="仿宋" w:hAnsi="仿宋" w:eastAsia="仿宋" w:cs="仿宋"/>
          <w:sz w:val="30"/>
          <w:szCs w:val="30"/>
        </w:rPr>
        <w:t>网站开发基础知识。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⑥具有探究学习、终身学习、分析问题和解决问题的能力；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⑦具有良好的语言、文字表达能力和团队沟通能力；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⑧具有较熟练的计算机操作能力和利用网络获取与处理信息的能力。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⑨具有大数据应用开发能力；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⑩具有数据采集和预处理的能力；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⑪具有数据可视化能力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⑫具有具备普通逻辑代码编写、程序模块开发、网页设计能力；</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公共基础课包括国防教育、劳动教育、</w:t>
      </w:r>
      <w:r>
        <w:rPr>
          <w:rFonts w:hint="eastAsia" w:ascii="仿宋" w:hAnsi="仿宋" w:eastAsia="仿宋" w:cs="仿宋"/>
          <w:sz w:val="30"/>
          <w:szCs w:val="30"/>
          <w:lang w:eastAsia="zh-CN"/>
        </w:rPr>
        <w:t>中国特色社会主义</w:t>
      </w:r>
      <w:r>
        <w:rPr>
          <w:rFonts w:hint="eastAsia" w:ascii="仿宋" w:hAnsi="仿宋" w:eastAsia="仿宋" w:cs="仿宋"/>
          <w:sz w:val="30"/>
          <w:szCs w:val="30"/>
        </w:rPr>
        <w:t>、心理健康与职业生涯、哲学与人生、</w:t>
      </w:r>
      <w:r>
        <w:rPr>
          <w:rFonts w:hint="eastAsia" w:ascii="仿宋" w:hAnsi="仿宋" w:eastAsia="仿宋" w:cs="仿宋"/>
          <w:sz w:val="30"/>
          <w:szCs w:val="30"/>
          <w:lang w:eastAsia="zh-CN"/>
        </w:rPr>
        <w:t>职业道德与法治</w:t>
      </w:r>
      <w:r>
        <w:rPr>
          <w:rFonts w:hint="eastAsia" w:ascii="仿宋" w:hAnsi="仿宋" w:eastAsia="仿宋" w:cs="仿宋"/>
          <w:sz w:val="30"/>
          <w:szCs w:val="30"/>
        </w:rPr>
        <w:t>、语文、数学、英语、体育与健康、历史、信息技术。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课程目标：国防教育是为捍卫国家主权、领土完整和安全，防御外来侵略、颠覆和威胁，向全民传授与国防有关的思想、知识、技能的社会活动。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主要内容：国防教育的内涵、开展国防教育对中职生的意义、中职学校展国防教育的措施。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w:t>
      </w:r>
      <w:bookmarkStart w:id="0" w:name="_Toc19561"/>
      <w:r>
        <w:rPr>
          <w:rFonts w:hint="eastAsia" w:ascii="仿宋" w:hAnsi="仿宋" w:eastAsia="仿宋" w:cs="仿宋"/>
          <w:sz w:val="30"/>
          <w:szCs w:val="30"/>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w:t>
      </w:r>
      <w:bookmarkEnd w:id="0"/>
      <w:r>
        <w:rPr>
          <w:rFonts w:hint="eastAsia" w:ascii="仿宋" w:hAnsi="仿宋" w:eastAsia="仿宋" w:cs="仿宋"/>
          <w:sz w:val="30"/>
          <w:szCs w:val="30"/>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w:t>
      </w:r>
      <w:bookmarkEnd w:id="1"/>
      <w:r>
        <w:rPr>
          <w:rFonts w:hint="eastAsia" w:ascii="仿宋" w:hAnsi="仿宋" w:eastAsia="仿宋" w:cs="仿宋"/>
          <w:sz w:val="30"/>
          <w:szCs w:val="30"/>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7.语文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主要内容：集合、不等式、函数、数列、平面向量、直线和圆的方程、立体几何、概率与统计初步等基础知识。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主要内容：简单的日常交际用语、简单的话题、常用语法、语句和常用词汇。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教学要求：鼓励学生自主探究和合作交流；尊重学生的个体差异，满足多样化的学习需要；关注学生英语思维能力的发展；注重英语知识之间的联系，重视教学思想方法的联系与运用；充分运用现代信息技术。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主要内容：学习基本的体育运动技能、掌握几种简单科学的的锻炼方式、基本的保健知识和技能。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教学要求：通过体育课程，培养具有健康第一的意识，德、智、体、美全面发展的合格人才。增强学生体质健康水平，激发学生参与体育活动的兴趣，培养他们终身参与体育锻炼的意识和习惯。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课程目标：了解历史的时序，初步掌握解释历史问题的方法，从历史的角度认识中国的具体国情，认同中华民族的优秀文化传统，尊重和热爱祖国的历史和文化。</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主要内容：中国古代史、中国近现代史、世界历史。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教学要求：通过学习，使学生能比较全面地了解历代史家的史学思想、方法，具备运用辨证史观分析问题和解决问题的基本能力。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12.信息技术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3</w:t>
      </w:r>
      <w:r>
        <w:rPr>
          <w:rFonts w:hint="eastAsia" w:ascii="仿宋" w:hAnsi="仿宋" w:eastAsia="仿宋" w:cs="仿宋"/>
          <w:sz w:val="30"/>
          <w:szCs w:val="30"/>
        </w:rPr>
        <w:t xml:space="preserve">.艺术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在艺术学科的学习中，学生观察自然、了解社会、感悟人生，探究、体验、领会艺术的魅力，积极、主动参与艺术活动，用有组织、有意义的音乐语言表达思想，用视觉媒介和技术创造形象，用舞蹈语言抒发清感，通过扮演戏剧角色品味丰富的人生，运用现代媒介和数字媒体技术再现与表现世界，在艺术的世界中求真、崇善、尚美。</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主要内容：运用感知、经验和知识对艺术作品进行观察、体验、联想、鉴别和评价。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在教学过程中，打破学生对艺术的陌生感，引导学生围绕主题展开想象；将即兴动机巧妙融入课堂，引导学生体会特定的情境；以丰富的情境语言逐步引导学生发挥想象力、模仿力和创造力，为学生情感活动与认知活动的结合开拓有效途径。</w:t>
      </w:r>
      <w:r>
        <w:rPr>
          <w:rFonts w:ascii="仿宋" w:hAnsi="仿宋" w:eastAsia="仿宋" w:cs="仿宋"/>
          <w:sz w:val="30"/>
          <w:szCs w:val="30"/>
        </w:rPr>
        <w:t xml:space="preserve"> </w:t>
      </w:r>
    </w:p>
    <w:p>
      <w:pPr>
        <w:pStyle w:val="2"/>
      </w:pPr>
    </w:p>
    <w:p>
      <w:pPr>
        <w:spacing w:line="480" w:lineRule="exact"/>
        <w:ind w:firstLine="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500"/>
        <w:gridCol w:w="5280"/>
        <w:gridCol w:w="10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3" w:type="dxa"/>
            <w:vAlign w:val="center"/>
          </w:tcPr>
          <w:p>
            <w:pPr>
              <w:pStyle w:val="62"/>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序号</w:t>
            </w:r>
          </w:p>
        </w:tc>
        <w:tc>
          <w:tcPr>
            <w:tcW w:w="2500" w:type="dxa"/>
            <w:vAlign w:val="center"/>
          </w:tcPr>
          <w:p>
            <w:pPr>
              <w:pStyle w:val="62"/>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课程名称</w:t>
            </w:r>
          </w:p>
        </w:tc>
        <w:tc>
          <w:tcPr>
            <w:tcW w:w="5280" w:type="dxa"/>
            <w:vAlign w:val="center"/>
          </w:tcPr>
          <w:p>
            <w:pPr>
              <w:pStyle w:val="62"/>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主要教学内容和要求</w:t>
            </w:r>
          </w:p>
        </w:tc>
        <w:tc>
          <w:tcPr>
            <w:tcW w:w="1068" w:type="dxa"/>
            <w:vAlign w:val="center"/>
          </w:tcPr>
          <w:p>
            <w:pPr>
              <w:pStyle w:val="62"/>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p>
        </w:tc>
        <w:tc>
          <w:tcPr>
            <w:tcW w:w="2500"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国防教育</w:t>
            </w:r>
          </w:p>
        </w:tc>
        <w:tc>
          <w:tcPr>
            <w:tcW w:w="5280" w:type="dxa"/>
            <w:vAlign w:val="center"/>
          </w:tcPr>
          <w:p>
            <w:pPr>
              <w:pStyle w:val="62"/>
              <w:spacing w:line="240" w:lineRule="auto"/>
              <w:ind w:firstLine="0" w:firstLineChars="0"/>
              <w:rPr>
                <w:rFonts w:cs="宋体" w:asciiTheme="majorEastAsia" w:hAnsiTheme="majorEastAsia" w:eastAsiaTheme="majorEastAsia"/>
                <w:sz w:val="21"/>
                <w:szCs w:val="21"/>
              </w:rPr>
            </w:pPr>
            <w:r>
              <w:rPr>
                <w:rFonts w:hint="eastAsia" w:ascii="宋体" w:hAnsi="宋体" w:cs="宋体"/>
                <w:sz w:val="21"/>
                <w:szCs w:val="21"/>
              </w:rPr>
              <w:t>依据《中华人民共和国国防教育法》开设，并与专业实际和行业发展密切结合。</w:t>
            </w:r>
          </w:p>
        </w:tc>
        <w:tc>
          <w:tcPr>
            <w:tcW w:w="1068"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w:t>
            </w:r>
          </w:p>
        </w:tc>
        <w:tc>
          <w:tcPr>
            <w:tcW w:w="2500"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劳动教育</w:t>
            </w:r>
          </w:p>
        </w:tc>
        <w:tc>
          <w:tcPr>
            <w:tcW w:w="5280" w:type="dxa"/>
            <w:vAlign w:val="center"/>
          </w:tcPr>
          <w:p>
            <w:pPr>
              <w:pStyle w:val="62"/>
              <w:spacing w:line="240" w:lineRule="auto"/>
              <w:ind w:firstLine="0" w:firstLineChars="0"/>
              <w:rPr>
                <w:rFonts w:cs="宋体" w:asciiTheme="majorEastAsia" w:hAnsiTheme="majorEastAsia" w:eastAsiaTheme="majorEastAsia"/>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1068" w:type="dxa"/>
            <w:vAlign w:val="center"/>
          </w:tcPr>
          <w:p>
            <w:pPr>
              <w:pStyle w:val="62"/>
              <w:spacing w:line="300" w:lineRule="atLeast"/>
              <w:jc w:val="center"/>
              <w:rPr>
                <w:rFonts w:hint="eastAsia" w:cs="宋体" w:asciiTheme="majorEastAsia" w:hAnsiTheme="majorEastAsia" w:eastAsiaTheme="majorEastAsia"/>
                <w:sz w:val="21"/>
                <w:szCs w:val="21"/>
                <w:lang w:eastAsia="zh-CN"/>
              </w:rPr>
            </w:pPr>
            <w:r>
              <w:rPr>
                <w:rFonts w:hint="eastAsia" w:cs="宋体" w:asciiTheme="majorEastAsia" w:hAnsiTheme="majorEastAsia" w:eastAsiaTheme="majorEastAsia"/>
                <w:sz w:val="21"/>
                <w:szCs w:val="21"/>
              </w:rPr>
              <w:t>4</w:t>
            </w:r>
            <w:r>
              <w:rPr>
                <w:rFonts w:hint="eastAsia" w:cs="宋体" w:asciiTheme="majorEastAsia" w:hAnsiTheme="majorEastAsia" w:eastAsiaTheme="majorEastAsia"/>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3</w:t>
            </w:r>
          </w:p>
        </w:tc>
        <w:tc>
          <w:tcPr>
            <w:tcW w:w="2500" w:type="dxa"/>
            <w:vAlign w:val="center"/>
          </w:tcPr>
          <w:p>
            <w:pPr>
              <w:pStyle w:val="62"/>
              <w:spacing w:line="300" w:lineRule="atLeast"/>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中国特色社会主义</w:t>
            </w:r>
          </w:p>
        </w:tc>
        <w:tc>
          <w:tcPr>
            <w:tcW w:w="5280"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068"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p>
        </w:tc>
        <w:tc>
          <w:tcPr>
            <w:tcW w:w="2500" w:type="dxa"/>
            <w:vAlign w:val="center"/>
          </w:tcPr>
          <w:p>
            <w:pPr>
              <w:pStyle w:val="62"/>
              <w:spacing w:line="300" w:lineRule="atLeast"/>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心理健康与职业生涯</w:t>
            </w:r>
          </w:p>
        </w:tc>
        <w:tc>
          <w:tcPr>
            <w:tcW w:w="5280"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068"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5</w:t>
            </w:r>
          </w:p>
        </w:tc>
        <w:tc>
          <w:tcPr>
            <w:tcW w:w="2500" w:type="dxa"/>
            <w:vAlign w:val="center"/>
          </w:tcPr>
          <w:p>
            <w:pPr>
              <w:pStyle w:val="62"/>
              <w:spacing w:line="300" w:lineRule="atLeast"/>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哲学与人生</w:t>
            </w:r>
          </w:p>
        </w:tc>
        <w:tc>
          <w:tcPr>
            <w:tcW w:w="5280" w:type="dxa"/>
            <w:vAlign w:val="center"/>
          </w:tcPr>
          <w:p>
            <w:pPr>
              <w:spacing w:line="240" w:lineRule="auto"/>
              <w:ind w:left="0" w:leftChars="0" w:firstLine="0" w:firstLineChars="0"/>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068"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6</w:t>
            </w:r>
          </w:p>
        </w:tc>
        <w:tc>
          <w:tcPr>
            <w:tcW w:w="2500" w:type="dxa"/>
            <w:vAlign w:val="center"/>
          </w:tcPr>
          <w:p>
            <w:pPr>
              <w:pStyle w:val="62"/>
              <w:spacing w:line="300" w:lineRule="atLeast"/>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职业道德与法治</w:t>
            </w:r>
          </w:p>
        </w:tc>
        <w:tc>
          <w:tcPr>
            <w:tcW w:w="5280" w:type="dxa"/>
            <w:vAlign w:val="center"/>
          </w:tcPr>
          <w:p>
            <w:pPr>
              <w:spacing w:line="240" w:lineRule="auto"/>
              <w:ind w:left="0" w:leftChars="0" w:firstLine="0" w:firstLineChars="0"/>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068"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7</w:t>
            </w:r>
          </w:p>
        </w:tc>
        <w:tc>
          <w:tcPr>
            <w:tcW w:w="2500"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语文</w:t>
            </w:r>
          </w:p>
        </w:tc>
        <w:tc>
          <w:tcPr>
            <w:tcW w:w="5280"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1068"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8</w:t>
            </w:r>
          </w:p>
        </w:tc>
        <w:tc>
          <w:tcPr>
            <w:tcW w:w="2500"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数学</w:t>
            </w:r>
          </w:p>
        </w:tc>
        <w:tc>
          <w:tcPr>
            <w:tcW w:w="5280"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1068"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9</w:t>
            </w:r>
          </w:p>
        </w:tc>
        <w:tc>
          <w:tcPr>
            <w:tcW w:w="2500"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英语</w:t>
            </w:r>
          </w:p>
        </w:tc>
        <w:tc>
          <w:tcPr>
            <w:tcW w:w="5280"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英语</w:t>
            </w:r>
            <w:r>
              <w:rPr>
                <w:rFonts w:hint="eastAsia" w:cs="宋体" w:asciiTheme="majorEastAsia" w:hAnsiTheme="majorEastAsia" w:eastAsiaTheme="majorEastAsia"/>
                <w:sz w:val="21"/>
                <w:szCs w:val="21"/>
              </w:rPr>
              <w:t>课程标准》开设，并与专业实际和行业发展密切结合。</w:t>
            </w:r>
          </w:p>
        </w:tc>
        <w:tc>
          <w:tcPr>
            <w:tcW w:w="1068"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10</w:t>
            </w:r>
          </w:p>
        </w:tc>
        <w:tc>
          <w:tcPr>
            <w:tcW w:w="2500"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体育与健康</w:t>
            </w:r>
          </w:p>
        </w:tc>
        <w:tc>
          <w:tcPr>
            <w:tcW w:w="5280" w:type="dxa"/>
            <w:vAlign w:val="center"/>
          </w:tcPr>
          <w:p>
            <w:pPr>
              <w:pStyle w:val="62"/>
              <w:spacing w:line="240" w:lineRule="auto"/>
              <w:ind w:firstLine="0" w:firstLineChars="0"/>
              <w:rPr>
                <w:rFonts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依据《中等职业学校体育与健康课程标准》开设，并与专业实际和行业发展密切结合。</w:t>
            </w:r>
          </w:p>
        </w:tc>
        <w:tc>
          <w:tcPr>
            <w:tcW w:w="1068"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11</w:t>
            </w:r>
          </w:p>
        </w:tc>
        <w:tc>
          <w:tcPr>
            <w:tcW w:w="2500"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历史</w:t>
            </w:r>
          </w:p>
        </w:tc>
        <w:tc>
          <w:tcPr>
            <w:tcW w:w="5280"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1068"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w:t>
            </w:r>
          </w:p>
        </w:tc>
        <w:tc>
          <w:tcPr>
            <w:tcW w:w="2500" w:type="dxa"/>
            <w:vAlign w:val="center"/>
          </w:tcPr>
          <w:p>
            <w:pPr>
              <w:pStyle w:val="62"/>
              <w:spacing w:line="300" w:lineRule="atLeas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信息技术</w:t>
            </w:r>
          </w:p>
        </w:tc>
        <w:tc>
          <w:tcPr>
            <w:tcW w:w="5280"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信息技术</w:t>
            </w:r>
            <w:bookmarkStart w:id="2" w:name="_GoBack"/>
            <w:bookmarkEnd w:id="2"/>
            <w:r>
              <w:rPr>
                <w:rFonts w:hint="eastAsia" w:cs="宋体" w:asciiTheme="majorEastAsia" w:hAnsiTheme="majorEastAsia" w:eastAsiaTheme="majorEastAsia"/>
                <w:sz w:val="21"/>
                <w:szCs w:val="21"/>
              </w:rPr>
              <w:t>课程标准》开设，并与专业实际和行业发展密切结合。</w:t>
            </w:r>
          </w:p>
        </w:tc>
        <w:tc>
          <w:tcPr>
            <w:tcW w:w="1068" w:type="dxa"/>
            <w:vAlign w:val="center"/>
          </w:tcPr>
          <w:p>
            <w:pPr>
              <w:pStyle w:val="62"/>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r>
              <w:rPr>
                <w:rFonts w:cs="宋体" w:asciiTheme="majorEastAsia" w:hAnsiTheme="majorEastAsia" w:eastAsiaTheme="majorEastAsia"/>
                <w:sz w:val="21"/>
                <w:szCs w:val="21"/>
              </w:rPr>
              <w:t>3</w:t>
            </w:r>
          </w:p>
        </w:tc>
        <w:tc>
          <w:tcPr>
            <w:tcW w:w="2500"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艺术</w:t>
            </w:r>
          </w:p>
        </w:tc>
        <w:tc>
          <w:tcPr>
            <w:tcW w:w="5280"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公共艺术</w:t>
            </w:r>
            <w:r>
              <w:rPr>
                <w:rFonts w:hint="eastAsia" w:cs="宋体" w:asciiTheme="majorEastAsia" w:hAnsiTheme="majorEastAsia" w:eastAsiaTheme="majorEastAsia"/>
                <w:sz w:val="21"/>
                <w:szCs w:val="21"/>
              </w:rPr>
              <w:t>课程标准》开设，并与专业实际和行业发展密切结合。</w:t>
            </w:r>
          </w:p>
        </w:tc>
        <w:tc>
          <w:tcPr>
            <w:tcW w:w="1068"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r>
              <w:rPr>
                <w:rFonts w:cs="宋体" w:asciiTheme="majorEastAsia" w:hAnsiTheme="majorEastAsia" w:eastAsiaTheme="majorEastAsia"/>
                <w:sz w:val="21"/>
                <w:szCs w:val="21"/>
              </w:rPr>
              <w:t>0</w:t>
            </w:r>
          </w:p>
        </w:tc>
      </w:tr>
    </w:tbl>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1.网页设计与制作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的学习，要求学生掌握静态网页的制作方法、学会HTML语言、熟悉站点的上传和维护并能够独立解决网页编辑中遇到的一般问题，能熟练运用Dreamweaver进行网站的导入、规划、管理、发布的相关技术及网页制作的操作技能；能熟练掌握JAVASCRIPT脚本编程语言的基本语法知识，能实现网页的交互和特殊效果；能维护、管理和设计WEB应用程序；能独立设计小型WEB站点。</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主要涵盖了HTML语言的语法规则及文字、链接、列表、表格、表单、图像、多媒体、框架元素标记及属性、JavaScript脚本编程语言、Dreamweaver、Fireworks、Flash、Photoshop等相关知识，全面介绍WEB站点设计的基本操作技术和使用技巧。</w:t>
      </w:r>
    </w:p>
    <w:p>
      <w:pPr>
        <w:spacing w:line="560" w:lineRule="exact"/>
        <w:ind w:firstLine="600" w:firstLineChars="200"/>
        <w:rPr>
          <w:rFonts w:ascii="仿宋" w:hAnsi="仿宋" w:eastAsia="仿宋"/>
          <w:szCs w:val="24"/>
        </w:rPr>
      </w:pPr>
      <w:r>
        <w:rPr>
          <w:rFonts w:hint="eastAsia" w:ascii="仿宋" w:hAnsi="仿宋" w:eastAsia="仿宋" w:cs="仿宋"/>
          <w:sz w:val="30"/>
          <w:szCs w:val="30"/>
        </w:rPr>
        <w:t>教学要求：掌握网页的版面布局，熟悉网页的色彩搭配，熟悉网页的基本元素，会创建和管理站点，掌握文本的操作。</w:t>
      </w:r>
    </w:p>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 xml:space="preserve">操作系统基础  </w:t>
      </w:r>
    </w:p>
    <w:p>
      <w:pPr>
        <w:numPr>
          <w:ilvl w:val="0"/>
          <w:numId w:val="0"/>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课程目标：通过学习，使学生理解操作系统的基本概念、工作原理和实现技术，学习用计算思维去发现问题、分析问题和解决问题，为今后的学习和工作奠定基础。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主要内容：学生掌握计算机操作系统的基本原理及组成；计算机操作系统的概念和相关新概念、名词及术语；了解计算机操作系统的发展特点、设计技巧和方法；对常用计算机操作系统会进行基本的操作使用。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教学要求：本课程采用讲练结合教学，注重以学生为主，“教”与“学”互动。在教学过程中由教师提出阶梯状要求，学生在不断练习中逐步达到目标，掌握本课程的职业能力。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3.计算机编程基础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课程目标：通过本课程的学习，使学生具备 Java程序设计语言相关知识、能够编写、调试Java程序，遵守良好的代码编写规范。能够使用Java语言解决实际问题，能胜任Java程序开发、软件测试等工作任务。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主要内容：开发简单Java应用程序；熟悉IDE下编写Java程序和掌握基本语法；掌握Java程序和程序调试的基本方法；掌握Java OOP基本思想；熟悉Java OOP的高级特性；练习Java数组与字符串；Java的异常处理。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以课程讲授为主，采用“教学做一体化”教学方式，注意教学方法的灵活性，建立多种教学媒体综合运用的运行机制，逐步建立适合学生个别化自主学习的支持服务体系和质量保证体系；用案例引导学生学习技能，并通过动手实践，让学生自己理解并归纳、掌握基本的编程知识与常识；整个教学过程突出精讲多练的模式，并使用课堂实践、课后实践来达到教学目的，在实践中建立完整的知识体系。</w:t>
      </w:r>
    </w:p>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图形图像处理  </w:t>
      </w:r>
    </w:p>
    <w:p>
      <w:pPr>
        <w:numPr>
          <w:ilvl w:val="0"/>
          <w:numId w:val="0"/>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本课程以图像处理为基本点。主要任务是使学生了解和掌握图像处理软件Photoshop工具的基本操作技能。目的是让学生理解图像色彩原理，掌握图像处理的知识和技术，学会各种工具和滤镜的使用。在此基础上,提高分析问题和解决问题的能力;提高学生的艺术修养，并为后续的专业课程奠定基础，使他们具有进一步学习相关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主要内容：选区编辑；画笔工具；渐变工具；图章工具、修补工具；图层；图层蒙版与文字；路径的应用；滤镜；调整图像色彩；通道；动作；综合训练。</w:t>
      </w:r>
    </w:p>
    <w:p>
      <w:pPr>
        <w:spacing w:line="560" w:lineRule="exact"/>
        <w:ind w:firstLine="600" w:firstLineChars="200"/>
      </w:pPr>
      <w:r>
        <w:rPr>
          <w:rFonts w:hint="eastAsia" w:ascii="仿宋" w:hAnsi="仿宋" w:eastAsia="仿宋" w:cs="仿宋"/>
          <w:sz w:val="30"/>
          <w:szCs w:val="30"/>
        </w:rPr>
        <w:t>教学要求：本课程采用现场教学，注重以学生为主，“教”与“学”互动；在教学过程中由教师提出阶梯状要求，学生在不断练习中逐步达到目标，掌握本课程的职业能力。</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 xml:space="preserve">5.数据库应用基础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课程目标：通过任务引领型的项目活动，使学生能理解、掌握Visual Foxpro数据库系统的基本操作技能：包括数据库的一些基本概念、数据库的建立管理与维护、设计应用程序界面、数据库应用程序设计。并养成诚实、守信、吃苦耐劳的品德，养成善于动脑，勤于思考，及时发现问题的学习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数据库的建立与基本维护；数据库管理；简单程序设计；设计查询与视图；设计应用程序界面；设计报表与标签；设计应用程序菜单系统；图层；图层蒙版与文字；路径的应用；滤镜；调整图像色彩；通道；动作；综合训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教学要求：在教学过程中，应立足于加强学生实际操作能力的培养，采用项目教学，以工作任务引领提高学生学习兴趣，激发学生的成就动机；</w:t>
      </w:r>
    </w:p>
    <w:p>
      <w:pPr>
        <w:spacing w:line="560" w:lineRule="exact"/>
        <w:ind w:firstLine="0"/>
        <w:rPr>
          <w:rFonts w:ascii="仿宋" w:hAnsi="仿宋" w:eastAsia="仿宋" w:cs="仿宋"/>
          <w:sz w:val="30"/>
          <w:szCs w:val="30"/>
        </w:rPr>
      </w:pPr>
      <w:r>
        <w:rPr>
          <w:rFonts w:hint="eastAsia" w:ascii="仿宋" w:hAnsi="仿宋" w:eastAsia="仿宋" w:cs="仿宋"/>
          <w:sz w:val="30"/>
          <w:szCs w:val="30"/>
        </w:rPr>
        <w:t>积极改进教学方法，坚持以学生为主体，充分调动学生学习的主动性、积极性；充分运用现代化教学手段，加强直观教学，边讲解、边演示、边练习，增加学生的感性认识，激发学生的学习Visual FoxPro6.0兴趣；      贯彻能力本位的教学思想，根据职业岗位设置，有针对性地加强对学生的技能训练。改革考核手段和方法，通过知识考试、技能实训考核综合评价学生成绩；加强职业道德和专业教育，培养学生的创新立业和岗位适应能力。注意行业的新发展，适时引进新的教学内容。</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 xml:space="preserve">6.计算机网络技术基础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初步掌握数据通信的基本原理、计算机网络中ISO/OSI的七层模型和TCP/IP的四层模型，初步掌握各层的基本功能和实现方法。初步掌握模型中的基本网络协议和网络应用层中的常用协议，初步掌握计算机网络接入技术，初步掌握计算机网络安全知识，学会运用一些知识去理解现代计算机网络，使用计算机网络必须要做的安全防范措施以及计算机网络实现和现代网络应用的关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主要内容：计算机网络概述；计算机网络体系结构；数据通信基础；TCP/IP协议簇；TCP/IP实用工具；局域网组网技术；以太网技术；交换式以太网与虚拟局域网；组建VLAN；无线局域网；局域网互连；网络应用。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因为本课程基本上是纯理论课，比较抽象，要充分注意讲授过程中的条理性和表述方法，多用实例，使学生对抽象的概念容易理解。所用的实例应为学生熟识的。讲授过程中应抓住本课程的核心内容进行组织，使学生能有效地掌握课程核心内容。</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 xml:space="preserve">7.数据库应用与数据分析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的学习，使本专业的学生具备从事后台典型数据库系统规划、数据库和数据表的创建及管理、表数据的查询及操作管理、数据库高级应用技术、数据库安全性管理、编程实现对数据库数据的操作等所必需的专业知识、专业技能及相关的职业能力，培养学生实际岗位的适应能力，提高学生的职业素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主要内容：数据库系统规划；数据库和数据表的创建及管理；表数据的查询及操作管理；数据库高级应用技术；数据库安全性管理；编程实现对数据库的操作。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教学要求：加强对学生实际职业能力的培养，强化案例教学或项目教学，注重以任务引领型案例或项目诱发学生兴趣，使学生在项目活动中掌握相关的知识和技能；以学生为本，注重 “教”与“学”的互动；通过选用典型活动项目，由教师提出要求或示范，组织学生进行活动，让学生在活动中提高实际操作能力；注重职业情景的创设，提高学生岗位适应能力。</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 xml:space="preserve">8.Web 前端开发技术应用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本课程旨在学生岗前实训前，提高学生移动互联网应用软件开发理论知识和实践操作能力，为学生积累基本的软件开发经验，让学生初步掌握软件项目开发过程以及在软件开发过程中所需的各种技术和基本方法、方式、工具应用等，能在软件开发过程中熟练应用JQuery、AngularJS、Ionic、AJAX、JSON、Cordova等技术进行代码编写和代码分析，提高学生软件开发能力，丰富学生软件开发知识，提高学生软件开发的整体素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主要内容：HTML5技术；CSS3技术；JavaScript语言；文档对象模型；jQuery库介绍；Bootstrap样式库和插件；Cordova开发跨平台移动APP；</w:t>
      </w:r>
    </w:p>
    <w:p>
      <w:pPr>
        <w:spacing w:line="560" w:lineRule="exact"/>
        <w:ind w:firstLine="600" w:firstLineChars="200"/>
      </w:pPr>
      <w:r>
        <w:rPr>
          <w:rFonts w:hint="eastAsia" w:ascii="仿宋" w:hAnsi="仿宋" w:eastAsia="仿宋" w:cs="仿宋"/>
          <w:sz w:val="30"/>
          <w:szCs w:val="30"/>
        </w:rPr>
        <w:t>教学要求：本课程采用现场教学，注重以学生为主，“教”与“学”互动。在教学过程中由教师提出阶梯状要求，学生在不断练习中逐步达到目标，掌握本课程的职业能力。</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 xml:space="preserve">9.数据采集与处理技术应用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设置的项目学习，具有应用工程基础知识和电子信息科学与技术专业基本理论知识解决问题的能力，具有系统的工程实践经历，了解本专业的前沿发展现状和趋势；能够从电子信息行业总体视角去分析、设计、解决相关工程问题，并提出相应的解决方案，设计满足特定需求的系统，并能够在设计环节体现创新意识，考虑社会、健康、安全、法律、 文化以及环境等因素；具有综合应用科学原理并采用科学方法对电子信息科学与技术问题进行研究，包括实验验证、分析与解释数据，并通过信息综合得到合理有效的结论。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主要内容：模拟信号数字化处理；模拟多路开关；测量放大器；采样/保持器与ADC、DAC；数据采集系统设计。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教学要求：加强对学生实际职业能力的培养，强化案例教学或项目教学，注重以任务引领型案例或项目诱发学生兴趣，使学生在项目活动中掌握相关的知识和技能；以学生为本，注重 “教”与“学”的互动；通过选用典型活动项目，由教师提出要求或示范，组织学生进行活动，让学生在活动中提高实际操作能力；注重职业情景的创设，提高学生岗位适应能力。</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 xml:space="preserve">10.数据可视化技术应用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设置的项目学习，了解数据可视化的基本概念、方法和技术，并能够运用到复杂的数据分析工程问题中，解决大数据分析结果的可视化展示问题；熟悉数据可视化流程，掌握主流的数据可视化开发工具，能够综合运用数据获取、分析、视觉修饰、交互控制等技术设计可视化系统，满足特定需求，并在设计中培养学生的创新态度和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主要内容：数据可视化概述；视觉感知与视觉通道；数据获取和处理；数据可视化基础；可视化工具；D3.js 可视化开发框架；可视化项目开发。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本课程采用课堂教学、课内实验、可视化项目设计与开发大作业等教学手段和形式完成课程教学任务；基于案例开展课堂教学，通过讲授、提问、讨论、演示等教学方法和手段让学生理解可视化的基本概念和理论；在课内实验环节，通过演示性、设计性、综合性实验使学生掌握可视化系统的开发技术。在大作业教学环节，通过实际项目的开发，使学生掌握可视化系统的设计和实现方法，并在设计中充分发挥学生的主观能动性，培养学生的自主学习能力和创新能力。</w:t>
      </w:r>
    </w:p>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 xml:space="preserve">大数据编程基础 </w:t>
      </w:r>
    </w:p>
    <w:p>
      <w:pPr>
        <w:numPr>
          <w:ilvl w:val="0"/>
          <w:numId w:val="0"/>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设置的项目学习，培养学生掌握Python程序的运行原理和编程方法，培养学生编程思维与动手能力。通过该课程可以了解Python在大数据项目开发中发挥的重要作用。本课程以理论指导实践，以实践加深理论的理解，循序渐进通过对Python的讲解与实操，让学生对Python编程语言有直观的认识，为数据预处理、数据分析、数据可视化等课程打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Python版本的更迭、开发环境的搭建；基本数据类型与Python特色数据类型Python流程控制与循环语句的运行流程；for循环if语句、continue、break；Python函数定义的方法；面向对象特性、Python类、对象、属性、继承、封装、多态；多进程多线程原理，Python多线程限制、多进程的写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教学要求：加强对学生实际职业能力的培养，强化案例教学或项目教学，注重以任务引领型案例或项目诱发学生兴趣，使学生在项目活动中掌握相关的知识和技能；以学生为本，注重 “教”与“学”的互动；通过选用典型活动项目，由教师提出要求或示范，组织学生进行活动，让学生在活动中提高实际操作能力；注重职业情景的创设，提高学生岗位适应能力。</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 xml:space="preserve">12.市场营销  </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课程目标：通过本课程的学习，使学生能熟悉市场营销活动的基本流程，掌握市场、市场要素、市场调查、营销环境、目标市场、营销策略等基本营销理论知识，能进行市场分析、市场调查、目标市场选择、营销策略选择、市场推广等相关技能操作，树立现代市场营销的基本理念，具备一定的创新精神、团队合作意识以及人际沟通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主要内容：市场要素分析、调查问卷设计、市场调查实施、营销环境分析、消费者行为分析、目标市场选择、产品策略选择、价格策略选择、渠道策略选择、品牌推广策略实施、广告策略实施等。</w:t>
      </w:r>
    </w:p>
    <w:p>
      <w:pPr>
        <w:spacing w:line="560" w:lineRule="exact"/>
        <w:ind w:firstLine="600" w:firstLineChars="200"/>
        <w:rPr>
          <w:rFonts w:eastAsia="黑体"/>
        </w:rPr>
      </w:pPr>
      <w:r>
        <w:rPr>
          <w:rFonts w:hint="eastAsia" w:ascii="仿宋" w:hAnsi="仿宋" w:eastAsia="仿宋" w:cs="仿宋"/>
          <w:sz w:val="30"/>
          <w:szCs w:val="30"/>
        </w:rPr>
        <w:t>教学要求：本课程作为中职电子商务专业的一门核心专业课程，必须以市场营销的实际工作过程为主线设计教学内容，建议教学中要体现“做学一体”的教学理念，主要采用任务引领教学法，结合案例教学，实地调研，角色扮演，情景模拟等教学方法，采用灵活多样的教学技术、手段，构建立体化，多层次的教学体系。</w:t>
      </w:r>
    </w:p>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hint="eastAsia" w:ascii="楷体" w:hAnsi="楷体" w:eastAsia="楷体" w:cs="楷体"/>
          <w:sz w:val="30"/>
          <w:szCs w:val="30"/>
          <w:lang w:val="en-US" w:eastAsia="zh-CN"/>
        </w:rPr>
      </w:pPr>
    </w:p>
    <w:p>
      <w:pPr>
        <w:numPr>
          <w:ilvl w:val="0"/>
          <w:numId w:val="0"/>
        </w:num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tbl>
      <w:tblPr>
        <w:tblStyle w:val="19"/>
        <w:tblW w:w="9747" w:type="dxa"/>
        <w:tblInd w:w="93" w:type="dxa"/>
        <w:tblLayout w:type="fixed"/>
        <w:tblCellMar>
          <w:top w:w="0" w:type="dxa"/>
          <w:left w:w="108" w:type="dxa"/>
          <w:bottom w:w="0" w:type="dxa"/>
          <w:right w:w="108" w:type="dxa"/>
        </w:tblCellMar>
      </w:tblPr>
      <w:tblGrid>
        <w:gridCol w:w="387"/>
        <w:gridCol w:w="450"/>
        <w:gridCol w:w="2175"/>
        <w:gridCol w:w="735"/>
        <w:gridCol w:w="660"/>
        <w:gridCol w:w="645"/>
        <w:gridCol w:w="465"/>
        <w:gridCol w:w="465"/>
        <w:gridCol w:w="525"/>
        <w:gridCol w:w="540"/>
        <w:gridCol w:w="585"/>
        <w:gridCol w:w="570"/>
        <w:gridCol w:w="840"/>
        <w:gridCol w:w="705"/>
      </w:tblGrid>
      <w:tr>
        <w:tblPrEx>
          <w:tblCellMar>
            <w:top w:w="0" w:type="dxa"/>
            <w:left w:w="108" w:type="dxa"/>
            <w:bottom w:w="0" w:type="dxa"/>
            <w:right w:w="108" w:type="dxa"/>
          </w:tblCellMar>
        </w:tblPrEx>
        <w:trPr>
          <w:trHeight w:val="470" w:hRule="atLeast"/>
        </w:trPr>
        <w:tc>
          <w:tcPr>
            <w:tcW w:w="9747" w:type="dxa"/>
            <w:gridSpan w:val="14"/>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b/>
                <w:bCs/>
                <w:color w:val="000000"/>
                <w:sz w:val="21"/>
              </w:rPr>
            </w:pPr>
            <w:r>
              <w:rPr>
                <w:rFonts w:hint="eastAsia" w:ascii="黑体" w:hAnsi="黑体" w:eastAsia="黑体" w:cs="黑体"/>
                <w:b/>
                <w:bCs/>
                <w:color w:val="000000"/>
                <w:kern w:val="0"/>
                <w:szCs w:val="24"/>
                <w:lang w:bidi="ar"/>
              </w:rPr>
              <w:t>大数据技术应用专业教学进程计划</w:t>
            </w:r>
          </w:p>
        </w:tc>
      </w:tr>
      <w:tr>
        <w:tblPrEx>
          <w:tblCellMar>
            <w:top w:w="0" w:type="dxa"/>
            <w:left w:w="108" w:type="dxa"/>
            <w:bottom w:w="0" w:type="dxa"/>
            <w:right w:w="108" w:type="dxa"/>
          </w:tblCellMar>
        </w:tblPrEx>
        <w:trPr>
          <w:trHeight w:val="420" w:hRule="atLeast"/>
        </w:trPr>
        <w:tc>
          <w:tcPr>
            <w:tcW w:w="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w:t>
            </w:r>
          </w:p>
        </w:tc>
        <w:tc>
          <w:tcPr>
            <w:tcW w:w="21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大数据技术应用</w:t>
            </w:r>
          </w:p>
        </w:tc>
        <w:tc>
          <w:tcPr>
            <w:tcW w:w="20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学制：三年</w:t>
            </w:r>
          </w:p>
        </w:tc>
        <w:tc>
          <w:tcPr>
            <w:tcW w:w="469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起点：初中</w:t>
            </w:r>
          </w:p>
        </w:tc>
      </w:tr>
      <w:tr>
        <w:tblPrEx>
          <w:tblCellMar>
            <w:top w:w="0" w:type="dxa"/>
            <w:left w:w="108" w:type="dxa"/>
            <w:bottom w:w="0" w:type="dxa"/>
            <w:right w:w="108" w:type="dxa"/>
          </w:tblCellMar>
        </w:tblPrEx>
        <w:trPr>
          <w:trHeight w:val="420" w:hRule="atLeast"/>
        </w:trPr>
        <w:tc>
          <w:tcPr>
            <w:tcW w:w="387"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课程模块</w:t>
            </w:r>
          </w:p>
        </w:tc>
        <w:tc>
          <w:tcPr>
            <w:tcW w:w="450"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 号</w:t>
            </w:r>
          </w:p>
        </w:tc>
        <w:tc>
          <w:tcPr>
            <w:tcW w:w="2175"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课程名称</w:t>
            </w:r>
          </w:p>
        </w:tc>
        <w:tc>
          <w:tcPr>
            <w:tcW w:w="735"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总学时</w:t>
            </w:r>
          </w:p>
        </w:tc>
        <w:tc>
          <w:tcPr>
            <w:tcW w:w="1305" w:type="dxa"/>
            <w:gridSpan w:val="2"/>
            <w:tcBorders>
              <w:top w:val="single" w:color="auto" w:sz="4" w:space="0"/>
              <w:left w:val="single" w:color="000000" w:sz="4" w:space="0"/>
              <w:bottom w:val="nil"/>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学时分配</w:t>
            </w:r>
          </w:p>
        </w:tc>
        <w:tc>
          <w:tcPr>
            <w:tcW w:w="3150" w:type="dxa"/>
            <w:gridSpan w:val="6"/>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各学期学时分配（周学时）</w:t>
            </w:r>
          </w:p>
        </w:tc>
        <w:tc>
          <w:tcPr>
            <w:tcW w:w="8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c>
          <w:tcPr>
            <w:tcW w:w="70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考试</w:t>
            </w:r>
          </w:p>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学期</w:t>
            </w:r>
          </w:p>
        </w:tc>
      </w:tr>
      <w:tr>
        <w:tblPrEx>
          <w:tblCellMar>
            <w:top w:w="0" w:type="dxa"/>
            <w:left w:w="108" w:type="dxa"/>
            <w:bottom w:w="0" w:type="dxa"/>
            <w:right w:w="108" w:type="dxa"/>
          </w:tblCellMar>
        </w:tblPrEx>
        <w:trPr>
          <w:trHeight w:val="420" w:hRule="atLeast"/>
        </w:trPr>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left"/>
              <w:rPr>
                <w:rFonts w:ascii="宋体" w:hAnsi="宋体" w:cs="宋体"/>
                <w:color w:val="000000"/>
                <w:sz w:val="20"/>
                <w:szCs w:val="20"/>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理</w:t>
            </w:r>
          </w:p>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论</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实</w:t>
            </w:r>
          </w:p>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践</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五</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六</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387" w:type="dxa"/>
            <w:vMerge w:val="continue"/>
            <w:tcBorders>
              <w:top w:val="single" w:color="000000" w:sz="4" w:space="0"/>
              <w:left w:val="single" w:color="000000" w:sz="4" w:space="0"/>
              <w:bottom w:val="single" w:color="auto" w:sz="4" w:space="0"/>
              <w:right w:val="single" w:color="000000"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left"/>
              <w:rPr>
                <w:rFonts w:ascii="宋体" w:hAnsi="宋体" w:cs="宋体"/>
                <w:color w:val="000000"/>
                <w:sz w:val="20"/>
                <w:szCs w:val="20"/>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387"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公共基础课</w:t>
            </w: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国防教育</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顶岗实习</w:t>
            </w:r>
          </w:p>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（20周）</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军训</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387"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劳动教育</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4</w:t>
            </w:r>
            <w:r>
              <w:rPr>
                <w:rFonts w:hint="eastAsia" w:ascii="宋体" w:hAnsi="宋体" w:cs="宋体"/>
                <w:color w:val="000000"/>
                <w:kern w:val="0"/>
                <w:sz w:val="20"/>
                <w:szCs w:val="20"/>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劳动周</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387"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中国特色社会主义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00" w:hRule="atLeast"/>
        </w:trPr>
        <w:tc>
          <w:tcPr>
            <w:tcW w:w="387"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心理健康与职业生涯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00" w:hRule="atLeast"/>
        </w:trPr>
        <w:tc>
          <w:tcPr>
            <w:tcW w:w="387"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哲学与人生</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00" w:hRule="atLeast"/>
        </w:trPr>
        <w:tc>
          <w:tcPr>
            <w:tcW w:w="387"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职业道德与法治</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00" w:hRule="atLeast"/>
        </w:trPr>
        <w:tc>
          <w:tcPr>
            <w:tcW w:w="387"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语文</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r>
      <w:tr>
        <w:tblPrEx>
          <w:tblCellMar>
            <w:top w:w="0" w:type="dxa"/>
            <w:left w:w="108" w:type="dxa"/>
            <w:bottom w:w="0" w:type="dxa"/>
            <w:right w:w="108" w:type="dxa"/>
          </w:tblCellMar>
        </w:tblPrEx>
        <w:trPr>
          <w:trHeight w:val="400" w:hRule="atLeast"/>
        </w:trPr>
        <w:tc>
          <w:tcPr>
            <w:tcW w:w="387"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r>
      <w:tr>
        <w:tblPrEx>
          <w:tblCellMar>
            <w:top w:w="0" w:type="dxa"/>
            <w:left w:w="108" w:type="dxa"/>
            <w:bottom w:w="0" w:type="dxa"/>
            <w:right w:w="108" w:type="dxa"/>
          </w:tblCellMar>
        </w:tblPrEx>
        <w:trPr>
          <w:trHeight w:val="400" w:hRule="atLeast"/>
        </w:trPr>
        <w:tc>
          <w:tcPr>
            <w:tcW w:w="387"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英语</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r>
      <w:tr>
        <w:tblPrEx>
          <w:tblCellMar>
            <w:top w:w="0" w:type="dxa"/>
            <w:left w:w="108" w:type="dxa"/>
            <w:bottom w:w="0" w:type="dxa"/>
            <w:right w:w="108" w:type="dxa"/>
          </w:tblCellMar>
        </w:tblPrEx>
        <w:trPr>
          <w:trHeight w:val="400" w:hRule="atLeast"/>
        </w:trPr>
        <w:tc>
          <w:tcPr>
            <w:tcW w:w="387"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体育与健康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r>
      <w:tr>
        <w:tblPrEx>
          <w:tblCellMar>
            <w:top w:w="0" w:type="dxa"/>
            <w:left w:w="108" w:type="dxa"/>
            <w:bottom w:w="0" w:type="dxa"/>
            <w:right w:w="108" w:type="dxa"/>
          </w:tblCellMar>
        </w:tblPrEx>
        <w:trPr>
          <w:trHeight w:val="405" w:hRule="atLeast"/>
        </w:trPr>
        <w:tc>
          <w:tcPr>
            <w:tcW w:w="387"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历史</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00" w:hRule="atLeast"/>
        </w:trPr>
        <w:tc>
          <w:tcPr>
            <w:tcW w:w="387"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信息技术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00" w:hRule="atLeast"/>
        </w:trPr>
        <w:tc>
          <w:tcPr>
            <w:tcW w:w="387"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艺术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r>
              <w:rPr>
                <w:rFonts w:ascii="宋体" w:hAnsi="宋体" w:cs="宋体"/>
                <w:color w:val="000000"/>
                <w:kern w:val="0"/>
                <w:sz w:val="20"/>
                <w:szCs w:val="20"/>
                <w:lang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r>
              <w:rPr>
                <w:rFonts w:hint="eastAsia" w:ascii="宋体" w:hAnsi="宋体" w:cs="宋体"/>
                <w:color w:val="000000"/>
                <w:sz w:val="20"/>
                <w:szCs w:val="20"/>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60" w:hRule="atLeast"/>
        </w:trPr>
        <w:tc>
          <w:tcPr>
            <w:tcW w:w="387" w:type="dxa"/>
            <w:vMerge w:val="restart"/>
            <w:tcBorders>
              <w:top w:val="single" w:color="auto" w:sz="4" w:space="0"/>
              <w:left w:val="single" w:color="000000" w:sz="4" w:space="0"/>
              <w:bottom w:val="nil"/>
              <w:right w:val="single" w:color="000000" w:sz="4" w:space="0"/>
            </w:tcBorders>
            <w:shd w:val="clear" w:color="auto" w:fill="auto"/>
            <w:noWrap/>
            <w:textDirection w:val="tbRlV"/>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专业基础课</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sz w:val="20"/>
                <w:szCs w:val="20"/>
              </w:rPr>
              <w:t>网页设计与制作</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60" w:hRule="atLeast"/>
        </w:trPr>
        <w:tc>
          <w:tcPr>
            <w:tcW w:w="387"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sz w:val="20"/>
                <w:szCs w:val="20"/>
              </w:rPr>
              <w:t>操作系统基础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60" w:hRule="atLeast"/>
        </w:trPr>
        <w:tc>
          <w:tcPr>
            <w:tcW w:w="387"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计算机编程基础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nil"/>
              <w:left w:val="nil"/>
              <w:bottom w:val="nil"/>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60" w:hRule="atLeast"/>
        </w:trPr>
        <w:tc>
          <w:tcPr>
            <w:tcW w:w="387"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图形图像处理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60" w:hRule="atLeast"/>
        </w:trPr>
        <w:tc>
          <w:tcPr>
            <w:tcW w:w="387"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数据库应用基础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6</w:t>
            </w:r>
            <w:r>
              <w:rPr>
                <w:rFonts w:hint="eastAsia" w:ascii="宋体" w:hAnsi="宋体" w:cs="宋体"/>
                <w:color w:val="000000"/>
                <w:kern w:val="0"/>
                <w:sz w:val="20"/>
                <w:szCs w:val="20"/>
                <w:lang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2</w:t>
            </w:r>
            <w:r>
              <w:rPr>
                <w:rFonts w:hint="eastAsia" w:ascii="宋体" w:hAnsi="宋体" w:cs="宋体"/>
                <w:color w:val="000000"/>
                <w:kern w:val="0"/>
                <w:sz w:val="20"/>
                <w:szCs w:val="20"/>
                <w:lang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60" w:hRule="atLeast"/>
        </w:trPr>
        <w:tc>
          <w:tcPr>
            <w:tcW w:w="387"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sz w:val="20"/>
                <w:szCs w:val="20"/>
              </w:rPr>
              <w:t>计算机网络技术基础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6</w:t>
            </w:r>
            <w:r>
              <w:rPr>
                <w:rFonts w:hint="eastAsia" w:ascii="宋体" w:hAnsi="宋体" w:cs="宋体"/>
                <w:color w:val="000000"/>
                <w:kern w:val="0"/>
                <w:sz w:val="20"/>
                <w:szCs w:val="20"/>
                <w:lang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4</w:t>
            </w:r>
            <w:r>
              <w:rPr>
                <w:rFonts w:hint="eastAsia" w:ascii="宋体" w:hAnsi="宋体" w:cs="宋体"/>
                <w:color w:val="000000"/>
                <w:kern w:val="0"/>
                <w:sz w:val="20"/>
                <w:szCs w:val="20"/>
                <w:lang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60" w:hRule="atLeast"/>
        </w:trPr>
        <w:tc>
          <w:tcPr>
            <w:tcW w:w="387" w:type="dxa"/>
            <w:vMerge w:val="restart"/>
            <w:tcBorders>
              <w:top w:val="single" w:color="000000" w:sz="4" w:space="0"/>
              <w:left w:val="single" w:color="000000" w:sz="4" w:space="0"/>
              <w:bottom w:val="nil"/>
              <w:right w:val="single" w:color="000000" w:sz="4" w:space="0"/>
            </w:tcBorders>
            <w:shd w:val="clear" w:color="auto" w:fill="auto"/>
            <w:textDirection w:val="tbRlV"/>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核心专业课</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20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18"/>
                <w:szCs w:val="18"/>
                <w:lang w:bidi="ar"/>
              </w:rPr>
              <w:t>数据库应用与数据分析</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考试</w:t>
            </w:r>
          </w:p>
        </w:tc>
      </w:tr>
      <w:tr>
        <w:tblPrEx>
          <w:tblCellMar>
            <w:top w:w="0" w:type="dxa"/>
            <w:left w:w="108" w:type="dxa"/>
            <w:bottom w:w="0" w:type="dxa"/>
            <w:right w:w="108" w:type="dxa"/>
          </w:tblCellMar>
        </w:tblPrEx>
        <w:trPr>
          <w:trHeight w:val="460" w:hRule="atLeast"/>
        </w:trPr>
        <w:tc>
          <w:tcPr>
            <w:tcW w:w="387"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spacing w:line="240" w:lineRule="auto"/>
              <w:ind w:firstLine="0"/>
              <w:rPr>
                <w:rFonts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18"/>
                <w:szCs w:val="18"/>
                <w:lang w:bidi="ar"/>
              </w:rPr>
              <w:t>Web 前端开发技术应用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考试</w:t>
            </w:r>
          </w:p>
        </w:tc>
      </w:tr>
      <w:tr>
        <w:tblPrEx>
          <w:tblCellMar>
            <w:top w:w="0" w:type="dxa"/>
            <w:left w:w="108" w:type="dxa"/>
            <w:bottom w:w="0" w:type="dxa"/>
            <w:right w:w="108" w:type="dxa"/>
          </w:tblCellMar>
        </w:tblPrEx>
        <w:trPr>
          <w:trHeight w:val="460" w:hRule="atLeast"/>
        </w:trPr>
        <w:tc>
          <w:tcPr>
            <w:tcW w:w="387"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spacing w:line="240" w:lineRule="auto"/>
              <w:ind w:firstLine="0"/>
              <w:rPr>
                <w:rFonts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textAlignment w:val="center"/>
              <w:rPr>
                <w:rFonts w:ascii="宋体" w:hAnsi="宋体" w:cs="宋体"/>
                <w:color w:val="000000"/>
                <w:sz w:val="20"/>
                <w:szCs w:val="20"/>
              </w:rPr>
            </w:pPr>
            <w:r>
              <w:rPr>
                <w:rFonts w:hint="eastAsia" w:ascii="宋体" w:hAnsi="宋体" w:cs="宋体"/>
                <w:color w:val="000000"/>
                <w:kern w:val="0"/>
                <w:sz w:val="18"/>
                <w:szCs w:val="18"/>
                <w:lang w:bidi="ar"/>
              </w:rPr>
              <w:t>数据采集与处理技术应用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60" w:hRule="atLeast"/>
        </w:trPr>
        <w:tc>
          <w:tcPr>
            <w:tcW w:w="387"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spacing w:line="240" w:lineRule="auto"/>
              <w:ind w:firstLine="0"/>
              <w:rPr>
                <w:rFonts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数据可视化技术应用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60" w:hRule="atLeast"/>
        </w:trPr>
        <w:tc>
          <w:tcPr>
            <w:tcW w:w="387"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spacing w:line="240" w:lineRule="auto"/>
              <w:ind w:firstLine="0"/>
              <w:rPr>
                <w:rFonts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4</w:t>
            </w:r>
          </w:p>
        </w:tc>
        <w:tc>
          <w:tcPr>
            <w:tcW w:w="2175"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大数据编程基础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考试</w:t>
            </w:r>
          </w:p>
        </w:tc>
      </w:tr>
      <w:tr>
        <w:tblPrEx>
          <w:tblCellMar>
            <w:top w:w="0" w:type="dxa"/>
            <w:left w:w="108" w:type="dxa"/>
            <w:bottom w:w="0" w:type="dxa"/>
            <w:right w:w="108" w:type="dxa"/>
          </w:tblCellMar>
        </w:tblPrEx>
        <w:trPr>
          <w:trHeight w:val="440" w:hRule="atLeast"/>
        </w:trPr>
        <w:tc>
          <w:tcPr>
            <w:tcW w:w="387"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spacing w:line="240" w:lineRule="auto"/>
              <w:ind w:firstLine="0"/>
              <w:rPr>
                <w:rFonts w:ascii="宋体" w:hAnsi="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市场营销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465" w:type="dxa"/>
            <w:tcBorders>
              <w:top w:val="single" w:color="000000" w:sz="4" w:space="0"/>
              <w:left w:val="single" w:color="000000" w:sz="4" w:space="0"/>
              <w:bottom w:val="single" w:color="000000" w:sz="4" w:space="0"/>
              <w:right w:val="nil"/>
            </w:tcBorders>
            <w:shd w:val="clear" w:color="auto" w:fill="auto"/>
            <w:noWrap/>
            <w:vAlign w:val="center"/>
          </w:tcPr>
          <w:p>
            <w:pPr>
              <w:spacing w:line="240" w:lineRule="auto"/>
              <w:ind w:firstLine="0"/>
              <w:jc w:val="center"/>
              <w:rPr>
                <w:rFonts w:ascii="宋体" w:hAnsi="宋体" w:cs="宋体"/>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jc w:val="center"/>
              <w:rPr>
                <w:rFonts w:ascii="宋体" w:hAnsi="宋体" w:cs="宋体"/>
                <w:color w:val="000000"/>
                <w:sz w:val="20"/>
                <w:szCs w:val="20"/>
              </w:rPr>
            </w:pP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必修</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考查</w:t>
            </w:r>
          </w:p>
        </w:tc>
      </w:tr>
      <w:tr>
        <w:tblPrEx>
          <w:tblCellMar>
            <w:top w:w="0" w:type="dxa"/>
            <w:left w:w="108" w:type="dxa"/>
            <w:bottom w:w="0" w:type="dxa"/>
            <w:right w:w="108" w:type="dxa"/>
          </w:tblCellMar>
        </w:tblPrEx>
        <w:trPr>
          <w:trHeight w:val="460" w:hRule="atLeast"/>
        </w:trPr>
        <w:tc>
          <w:tcPr>
            <w:tcW w:w="30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学  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3160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250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ascii="宋体" w:hAnsi="宋体" w:cs="宋体"/>
                <w:color w:val="000000"/>
                <w:kern w:val="0"/>
                <w:sz w:val="20"/>
                <w:szCs w:val="20"/>
                <w:lang w:bidi="ar"/>
              </w:rPr>
              <w:t>1350</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spacing w:line="240" w:lineRule="auto"/>
              <w:ind w:firstLine="0"/>
              <w:jc w:val="center"/>
              <w:rPr>
                <w:rFonts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0"/>
              <w:jc w:val="center"/>
              <w:rPr>
                <w:rFonts w:ascii="宋体" w:hAnsi="宋体" w:cs="宋体"/>
                <w:color w:val="000000"/>
                <w:sz w:val="20"/>
                <w:szCs w:val="20"/>
              </w:rPr>
            </w:pPr>
          </w:p>
        </w:tc>
      </w:tr>
    </w:tbl>
    <w:p>
      <w:pPr>
        <w:overflowPunct w:val="0"/>
        <w:ind w:left="0" w:leftChars="0"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主要包括师资队伍、教学设施、教学资源、教学方法、学习评价、质量管理等方面。</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队伍结构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我系与大数据技术与应用相关的专业拥有一支年龄结构、学历结构、职称结构合理以及专业技能精湛的师资团队，现拥有教职工44人，其中高级职称、高级技师、技师占72%，双师型教师占50%以上。这些教师具有丰富的教学工作经验，具有与高技能人才培养相适应的教学研发能力和技能实训指导能力。组建了一支由专任教师、行业企业兼职教师组成的“专兼结合”的教学团队，以满足日常教学的需要。专业核心课程应由校内专任专业教师和行业兼职教师共同完成教学，其中，实践实训部分应以行业兼职教师指导为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⑴遵守国家法律法规，具有良好的职业道德和敬业精神；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⑵具有高校教师资格和本专业领域有关证书；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⑶有理想信念、有道德情操、有扎实学识、有仁爱之心；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⑷具有相关专业本科及以上学历；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⑸具有扎实的本专业相关理论功底和实践能力；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⑹具有较强的信息化教学能力，能够开展课程教学改革和科学研究。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3.专业带头人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能够较好地把握国内行业、专业发展，能广泛联系行业企业，了解行业企业对本专业人才的需求实际，教学设计、专业研究能力较强，组织开展教科研工作能力较强，在本区域具有一定的专业影响力。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4.兼职教师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（1）遵守国家法律法规，具备良好的思想政治素质、职业道德和工匠精神；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（2）具有扎实的专业知识和丰富的实际工作经验；</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（3）能承担专业课程教学、实习实训指导和学生职业发展规划指导等教学任务。</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1.教室要求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多媒体教室配置要求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2496"/>
        <w:gridCol w:w="1995"/>
        <w:gridCol w:w="3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94"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p>
            <w:pPr>
              <w:spacing w:line="240" w:lineRule="auto"/>
              <w:ind w:firstLine="0"/>
              <w:jc w:val="center"/>
              <w:rPr>
                <w:rFonts w:ascii="黑体" w:hAnsi="黑体" w:eastAsia="黑体" w:cs="黑体"/>
                <w:szCs w:val="24"/>
              </w:rPr>
            </w:pPr>
          </w:p>
        </w:tc>
        <w:tc>
          <w:tcPr>
            <w:tcW w:w="2496"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项目</w:t>
            </w:r>
          </w:p>
          <w:p>
            <w:pPr>
              <w:spacing w:line="240" w:lineRule="auto"/>
              <w:ind w:firstLine="0"/>
              <w:jc w:val="center"/>
              <w:rPr>
                <w:rFonts w:ascii="黑体" w:hAnsi="黑体" w:eastAsia="黑体" w:cs="黑体"/>
                <w:szCs w:val="24"/>
              </w:rPr>
            </w:pPr>
          </w:p>
        </w:tc>
        <w:tc>
          <w:tcPr>
            <w:tcW w:w="199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规格</w:t>
            </w:r>
          </w:p>
          <w:p>
            <w:pPr>
              <w:spacing w:line="240" w:lineRule="auto"/>
              <w:ind w:firstLine="0"/>
              <w:jc w:val="center"/>
              <w:rPr>
                <w:rFonts w:ascii="黑体" w:hAnsi="黑体" w:eastAsia="黑体" w:cs="黑体"/>
                <w:szCs w:val="24"/>
              </w:rPr>
            </w:pPr>
          </w:p>
        </w:tc>
        <w:tc>
          <w:tcPr>
            <w:tcW w:w="3587"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参数、数量</w:t>
            </w:r>
          </w:p>
          <w:p>
            <w:pPr>
              <w:spacing w:line="240" w:lineRule="auto"/>
              <w:ind w:firstLine="0"/>
              <w:jc w:val="center"/>
              <w:rPr>
                <w:rFonts w:ascii="黑体" w:hAnsi="黑体" w:eastAsia="黑体" w:cs="黑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94" w:type="dxa"/>
            <w:vAlign w:val="center"/>
          </w:tcPr>
          <w:p>
            <w:pPr>
              <w:spacing w:line="240" w:lineRule="auto"/>
              <w:rPr>
                <w:rFonts w:ascii="宋体" w:hAnsi="宋体" w:cs="宋体"/>
                <w:sz w:val="21"/>
              </w:rPr>
            </w:pPr>
            <w:r>
              <w:rPr>
                <w:rFonts w:hint="eastAsia" w:ascii="宋体" w:hAnsi="宋体" w:cs="宋体"/>
                <w:sz w:val="21"/>
              </w:rPr>
              <w:t>1</w:t>
            </w:r>
          </w:p>
        </w:tc>
        <w:tc>
          <w:tcPr>
            <w:tcW w:w="2496" w:type="dxa"/>
            <w:vAlign w:val="center"/>
          </w:tcPr>
          <w:p>
            <w:pPr>
              <w:spacing w:line="240" w:lineRule="auto"/>
              <w:ind w:firstLine="0"/>
              <w:jc w:val="center"/>
              <w:rPr>
                <w:rFonts w:ascii="宋体" w:hAnsi="宋体" w:cs="宋体"/>
                <w:sz w:val="21"/>
              </w:rPr>
            </w:pPr>
            <w:r>
              <w:rPr>
                <w:rFonts w:hint="eastAsia" w:ascii="宋体" w:hAnsi="宋体" w:cs="宋体"/>
                <w:sz w:val="21"/>
              </w:rPr>
              <w:t>台式电脑</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兼容机</w:t>
            </w:r>
          </w:p>
        </w:tc>
        <w:tc>
          <w:tcPr>
            <w:tcW w:w="3587" w:type="dxa"/>
            <w:vAlign w:val="center"/>
          </w:tcPr>
          <w:p>
            <w:pPr>
              <w:spacing w:line="240" w:lineRule="auto"/>
              <w:ind w:firstLine="0"/>
              <w:jc w:val="center"/>
              <w:rPr>
                <w:rFonts w:ascii="宋体" w:hAnsi="宋体" w:cs="宋体"/>
                <w:sz w:val="21"/>
              </w:rPr>
            </w:pPr>
            <w:r>
              <w:rPr>
                <w:rFonts w:hint="eastAsia" w:ascii="宋体" w:hAnsi="宋体" w:cs="宋体"/>
                <w:sz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94"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2496" w:type="dxa"/>
            <w:vAlign w:val="center"/>
          </w:tcPr>
          <w:p>
            <w:pPr>
              <w:spacing w:line="240" w:lineRule="auto"/>
              <w:ind w:firstLine="0"/>
              <w:jc w:val="center"/>
              <w:rPr>
                <w:rFonts w:ascii="宋体" w:hAnsi="宋体" w:cs="宋体"/>
                <w:sz w:val="21"/>
              </w:rPr>
            </w:pPr>
            <w:r>
              <w:rPr>
                <w:rFonts w:hint="eastAsia" w:ascii="宋体" w:hAnsi="宋体" w:cs="宋体"/>
                <w:sz w:val="21"/>
              </w:rPr>
              <w:t>投影屏幕</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红叶</w:t>
            </w:r>
          </w:p>
        </w:tc>
        <w:tc>
          <w:tcPr>
            <w:tcW w:w="3587" w:type="dxa"/>
            <w:vAlign w:val="center"/>
          </w:tcPr>
          <w:p>
            <w:pPr>
              <w:spacing w:line="240" w:lineRule="auto"/>
              <w:ind w:firstLine="0"/>
              <w:jc w:val="center"/>
              <w:rPr>
                <w:rFonts w:ascii="宋体" w:hAnsi="宋体" w:cs="宋体"/>
                <w:sz w:val="21"/>
              </w:rPr>
            </w:pPr>
            <w:r>
              <w:rPr>
                <w:rFonts w:hint="eastAsia" w:ascii="宋体" w:hAnsi="宋体" w:cs="宋体"/>
                <w:sz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4" w:type="dxa"/>
            <w:vAlign w:val="center"/>
          </w:tcPr>
          <w:p>
            <w:pPr>
              <w:spacing w:line="240" w:lineRule="auto"/>
              <w:ind w:firstLine="0"/>
              <w:jc w:val="center"/>
              <w:rPr>
                <w:rFonts w:ascii="宋体" w:hAnsi="宋体" w:cs="宋体"/>
                <w:sz w:val="21"/>
              </w:rPr>
            </w:pPr>
            <w:r>
              <w:rPr>
                <w:rFonts w:hint="eastAsia" w:ascii="宋体" w:hAnsi="宋体" w:cs="宋体"/>
                <w:sz w:val="21"/>
              </w:rPr>
              <w:t>3</w:t>
            </w:r>
          </w:p>
        </w:tc>
        <w:tc>
          <w:tcPr>
            <w:tcW w:w="2496" w:type="dxa"/>
            <w:vAlign w:val="center"/>
          </w:tcPr>
          <w:p>
            <w:pPr>
              <w:spacing w:line="240" w:lineRule="auto"/>
              <w:ind w:firstLine="0"/>
              <w:jc w:val="center"/>
              <w:rPr>
                <w:rFonts w:ascii="宋体" w:hAnsi="宋体" w:cs="宋体"/>
                <w:sz w:val="21"/>
              </w:rPr>
            </w:pPr>
            <w:r>
              <w:rPr>
                <w:rFonts w:hint="eastAsia" w:ascii="宋体" w:hAnsi="宋体" w:cs="宋体"/>
                <w:sz w:val="21"/>
              </w:rPr>
              <w:t>投影机</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爱普生</w:t>
            </w:r>
          </w:p>
        </w:tc>
        <w:tc>
          <w:tcPr>
            <w:tcW w:w="3587" w:type="dxa"/>
            <w:vAlign w:val="center"/>
          </w:tcPr>
          <w:p>
            <w:pPr>
              <w:spacing w:line="240" w:lineRule="auto"/>
              <w:ind w:firstLine="0"/>
              <w:jc w:val="center"/>
              <w:rPr>
                <w:rFonts w:ascii="宋体" w:hAnsi="宋体" w:cs="宋体"/>
                <w:sz w:val="21"/>
              </w:rPr>
            </w:pPr>
            <w:r>
              <w:rPr>
                <w:rFonts w:hint="eastAsia" w:ascii="宋体" w:hAnsi="宋体" w:cs="宋体"/>
                <w:sz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94" w:type="dxa"/>
            <w:vAlign w:val="center"/>
          </w:tcPr>
          <w:p>
            <w:pPr>
              <w:spacing w:line="240" w:lineRule="auto"/>
              <w:ind w:firstLine="0"/>
              <w:jc w:val="center"/>
              <w:rPr>
                <w:rFonts w:ascii="宋体" w:hAnsi="宋体" w:cs="宋体"/>
                <w:sz w:val="21"/>
              </w:rPr>
            </w:pPr>
            <w:r>
              <w:rPr>
                <w:rFonts w:hint="eastAsia" w:ascii="宋体" w:hAnsi="宋体" w:cs="宋体"/>
                <w:sz w:val="21"/>
              </w:rPr>
              <w:t>4</w:t>
            </w:r>
          </w:p>
        </w:tc>
        <w:tc>
          <w:tcPr>
            <w:tcW w:w="2496" w:type="dxa"/>
            <w:vAlign w:val="center"/>
          </w:tcPr>
          <w:p>
            <w:pPr>
              <w:spacing w:line="240" w:lineRule="auto"/>
              <w:ind w:firstLine="0"/>
              <w:jc w:val="center"/>
              <w:rPr>
                <w:rFonts w:ascii="宋体" w:hAnsi="宋体" w:cs="宋体"/>
                <w:sz w:val="21"/>
              </w:rPr>
            </w:pPr>
            <w:r>
              <w:rPr>
                <w:rFonts w:hint="eastAsia" w:ascii="宋体" w:hAnsi="宋体" w:cs="宋体"/>
                <w:sz w:val="21"/>
              </w:rPr>
              <w:t>多媒体讲台</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2.5 米</w:t>
            </w:r>
          </w:p>
        </w:tc>
        <w:tc>
          <w:tcPr>
            <w:tcW w:w="3587" w:type="dxa"/>
            <w:vAlign w:val="center"/>
          </w:tcPr>
          <w:p>
            <w:pPr>
              <w:spacing w:line="240" w:lineRule="auto"/>
              <w:ind w:firstLine="0"/>
              <w:jc w:val="center"/>
              <w:rPr>
                <w:rFonts w:ascii="宋体" w:hAnsi="宋体" w:cs="宋体"/>
                <w:sz w:val="21"/>
              </w:rPr>
            </w:pPr>
            <w:r>
              <w:rPr>
                <w:rFonts w:hint="eastAsia" w:ascii="宋体" w:hAnsi="宋体" w:cs="宋体"/>
                <w:sz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4" w:type="dxa"/>
            <w:vAlign w:val="center"/>
          </w:tcPr>
          <w:p>
            <w:pPr>
              <w:spacing w:line="240" w:lineRule="auto"/>
              <w:ind w:firstLine="0"/>
              <w:jc w:val="center"/>
              <w:rPr>
                <w:rFonts w:ascii="宋体" w:hAnsi="宋体" w:cs="宋体"/>
                <w:sz w:val="21"/>
              </w:rPr>
            </w:pPr>
            <w:r>
              <w:rPr>
                <w:rFonts w:hint="eastAsia" w:ascii="宋体" w:hAnsi="宋体" w:cs="宋体"/>
                <w:sz w:val="21"/>
              </w:rPr>
              <w:t>5</w:t>
            </w:r>
          </w:p>
        </w:tc>
        <w:tc>
          <w:tcPr>
            <w:tcW w:w="2496" w:type="dxa"/>
            <w:vAlign w:val="center"/>
          </w:tcPr>
          <w:p>
            <w:pPr>
              <w:spacing w:line="240" w:lineRule="auto"/>
              <w:ind w:firstLine="0"/>
              <w:jc w:val="center"/>
              <w:rPr>
                <w:rFonts w:ascii="宋体" w:hAnsi="宋体" w:cs="宋体"/>
                <w:sz w:val="21"/>
              </w:rPr>
            </w:pPr>
            <w:r>
              <w:rPr>
                <w:rFonts w:hint="eastAsia" w:ascii="宋体" w:hAnsi="宋体" w:cs="宋体"/>
                <w:sz w:val="21"/>
              </w:rPr>
              <w:t>音箱、功放</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1 套</w:t>
            </w:r>
          </w:p>
        </w:tc>
        <w:tc>
          <w:tcPr>
            <w:tcW w:w="3587" w:type="dxa"/>
            <w:vAlign w:val="center"/>
          </w:tcPr>
          <w:p>
            <w:pPr>
              <w:spacing w:line="240" w:lineRule="auto"/>
              <w:ind w:firstLine="0"/>
              <w:jc w:val="center"/>
              <w:rPr>
                <w:rFonts w:ascii="宋体" w:hAnsi="宋体" w:cs="宋体"/>
                <w:sz w:val="21"/>
              </w:rPr>
            </w:pPr>
            <w:r>
              <w:rPr>
                <w:rFonts w:hint="eastAsia" w:ascii="宋体" w:hAnsi="宋体" w:cs="宋体"/>
                <w:sz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94" w:type="dxa"/>
            <w:vAlign w:val="center"/>
          </w:tcPr>
          <w:p>
            <w:pPr>
              <w:spacing w:line="240" w:lineRule="auto"/>
              <w:ind w:firstLine="0"/>
              <w:jc w:val="center"/>
              <w:rPr>
                <w:rFonts w:ascii="宋体" w:hAnsi="宋体" w:cs="宋体"/>
                <w:sz w:val="21"/>
              </w:rPr>
            </w:pPr>
            <w:r>
              <w:rPr>
                <w:rFonts w:hint="eastAsia" w:ascii="宋体" w:hAnsi="宋体" w:cs="宋体"/>
                <w:sz w:val="21"/>
              </w:rPr>
              <w:t>6</w:t>
            </w:r>
          </w:p>
        </w:tc>
        <w:tc>
          <w:tcPr>
            <w:tcW w:w="2496" w:type="dxa"/>
            <w:vAlign w:val="center"/>
          </w:tcPr>
          <w:p>
            <w:pPr>
              <w:spacing w:line="240" w:lineRule="auto"/>
              <w:ind w:firstLine="0"/>
              <w:jc w:val="center"/>
              <w:rPr>
                <w:rFonts w:ascii="宋体" w:hAnsi="宋体" w:cs="宋体"/>
                <w:sz w:val="21"/>
              </w:rPr>
            </w:pPr>
            <w:r>
              <w:rPr>
                <w:rFonts w:hint="eastAsia" w:ascii="宋体" w:hAnsi="宋体" w:cs="宋体"/>
                <w:sz w:val="21"/>
              </w:rPr>
              <w:t>桌椅</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80 套</w:t>
            </w:r>
          </w:p>
        </w:tc>
        <w:tc>
          <w:tcPr>
            <w:tcW w:w="3587" w:type="dxa"/>
            <w:vAlign w:val="center"/>
          </w:tcPr>
          <w:p>
            <w:pPr>
              <w:spacing w:line="240" w:lineRule="auto"/>
              <w:ind w:firstLine="0"/>
              <w:jc w:val="center"/>
              <w:rPr>
                <w:rFonts w:ascii="宋体" w:hAnsi="宋体" w:cs="宋体"/>
                <w:sz w:val="21"/>
              </w:rPr>
            </w:pPr>
            <w:r>
              <w:rPr>
                <w:rFonts w:hint="eastAsia" w:ascii="宋体" w:hAnsi="宋体" w:cs="宋体"/>
                <w:sz w:val="21"/>
              </w:rPr>
              <w:t>连体式桌椅</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2.校内实训基地装备要求</w:t>
      </w:r>
    </w:p>
    <w:tbl>
      <w:tblPr>
        <w:tblStyle w:val="19"/>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57"/>
        <w:gridCol w:w="2745"/>
        <w:gridCol w:w="21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1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tc>
        <w:tc>
          <w:tcPr>
            <w:tcW w:w="1557"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名称</w:t>
            </w:r>
          </w:p>
        </w:tc>
        <w:tc>
          <w:tcPr>
            <w:tcW w:w="274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主要设备</w:t>
            </w:r>
          </w:p>
        </w:tc>
        <w:tc>
          <w:tcPr>
            <w:tcW w:w="217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主要功能</w:t>
            </w:r>
          </w:p>
        </w:tc>
        <w:tc>
          <w:tcPr>
            <w:tcW w:w="2766"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实训课目的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1</w:t>
            </w:r>
          </w:p>
        </w:tc>
        <w:tc>
          <w:tcPr>
            <w:tcW w:w="1557"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大数据实训室</w:t>
            </w:r>
          </w:p>
        </w:tc>
        <w:tc>
          <w:tcPr>
            <w:tcW w:w="274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大数据实训平台主流配置计算机 80 台套</w:t>
            </w:r>
          </w:p>
        </w:tc>
        <w:tc>
          <w:tcPr>
            <w:tcW w:w="217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课程的实训、项目综合实训</w:t>
            </w:r>
          </w:p>
        </w:tc>
        <w:tc>
          <w:tcPr>
            <w:tcW w:w="2766"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大数据存储、分析能力</w:t>
            </w:r>
          </w:p>
          <w:p>
            <w:pPr>
              <w:spacing w:line="240" w:lineRule="auto"/>
              <w:ind w:firstLine="0"/>
              <w:jc w:val="center"/>
              <w:rPr>
                <w:rFonts w:ascii="仿宋" w:hAnsi="仿宋" w:eastAsia="仿宋" w:cs="仿宋"/>
                <w:sz w:val="21"/>
              </w:rPr>
            </w:pPr>
            <w:r>
              <w:rPr>
                <w:rFonts w:hint="eastAsia" w:ascii="仿宋" w:hAnsi="仿宋" w:eastAsia="仿宋" w:cs="仿宋"/>
                <w:sz w:val="21"/>
              </w:rPr>
              <w:t>大数据获取、清洗能力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1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2</w:t>
            </w:r>
          </w:p>
        </w:tc>
        <w:tc>
          <w:tcPr>
            <w:tcW w:w="1557"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大数据编程开发实训室</w:t>
            </w:r>
          </w:p>
        </w:tc>
        <w:tc>
          <w:tcPr>
            <w:tcW w:w="274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主流配置计算机 80 台套</w:t>
            </w:r>
          </w:p>
        </w:tc>
        <w:tc>
          <w:tcPr>
            <w:tcW w:w="217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完成数据库、数据可视化、项目综合实训</w:t>
            </w:r>
          </w:p>
        </w:tc>
        <w:tc>
          <w:tcPr>
            <w:tcW w:w="2766"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大数据编程开发能力</w:t>
            </w:r>
          </w:p>
          <w:p>
            <w:pPr>
              <w:spacing w:line="240" w:lineRule="auto"/>
              <w:ind w:firstLine="0"/>
              <w:jc w:val="center"/>
              <w:rPr>
                <w:rFonts w:ascii="仿宋" w:hAnsi="仿宋" w:eastAsia="仿宋" w:cs="仿宋"/>
                <w:sz w:val="21"/>
              </w:rPr>
            </w:pPr>
            <w:r>
              <w:rPr>
                <w:rFonts w:hint="eastAsia" w:ascii="仿宋" w:hAnsi="仿宋" w:eastAsia="仿宋" w:cs="仿宋"/>
                <w:sz w:val="21"/>
              </w:rPr>
              <w:t>数据可视化能力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5" w:type="dxa"/>
            <w:vAlign w:val="center"/>
          </w:tcPr>
          <w:p>
            <w:pPr>
              <w:spacing w:line="240" w:lineRule="auto"/>
              <w:ind w:firstLine="210" w:firstLineChars="100"/>
              <w:rPr>
                <w:rFonts w:ascii="仿宋" w:hAnsi="仿宋" w:eastAsia="仿宋" w:cs="仿宋"/>
                <w:sz w:val="21"/>
              </w:rPr>
            </w:pPr>
            <w:r>
              <w:rPr>
                <w:rFonts w:hint="eastAsia" w:ascii="仿宋" w:hAnsi="仿宋" w:eastAsia="仿宋" w:cs="仿宋"/>
                <w:sz w:val="21"/>
              </w:rPr>
              <w:t>3</w:t>
            </w:r>
          </w:p>
        </w:tc>
        <w:tc>
          <w:tcPr>
            <w:tcW w:w="1557"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大数据基础实训室</w:t>
            </w:r>
          </w:p>
        </w:tc>
        <w:tc>
          <w:tcPr>
            <w:tcW w:w="274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云创大数据实训 平台服务器主流配置计算机8台套</w:t>
            </w:r>
          </w:p>
        </w:tc>
        <w:tc>
          <w:tcPr>
            <w:tcW w:w="217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大数据子项目实训、项目综合实训</w:t>
            </w:r>
          </w:p>
        </w:tc>
        <w:tc>
          <w:tcPr>
            <w:tcW w:w="2766"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大数据采集、预处</w:t>
            </w:r>
          </w:p>
          <w:p>
            <w:pPr>
              <w:spacing w:line="240" w:lineRule="auto"/>
              <w:ind w:firstLine="0"/>
              <w:jc w:val="center"/>
              <w:rPr>
                <w:rFonts w:ascii="仿宋" w:hAnsi="仿宋" w:eastAsia="仿宋" w:cs="仿宋"/>
                <w:sz w:val="21"/>
              </w:rPr>
            </w:pPr>
            <w:r>
              <w:rPr>
                <w:rFonts w:hint="eastAsia" w:ascii="仿宋" w:hAnsi="仿宋" w:eastAsia="仿宋" w:cs="仿宋"/>
                <w:sz w:val="21"/>
              </w:rPr>
              <w:t>理、分析、展示以及</w:t>
            </w:r>
          </w:p>
          <w:p>
            <w:pPr>
              <w:spacing w:line="240" w:lineRule="auto"/>
              <w:ind w:firstLine="0"/>
              <w:jc w:val="center"/>
              <w:rPr>
                <w:rFonts w:ascii="仿宋" w:hAnsi="仿宋" w:eastAsia="仿宋" w:cs="仿宋"/>
                <w:sz w:val="21"/>
              </w:rPr>
            </w:pPr>
            <w:r>
              <w:rPr>
                <w:rFonts w:hint="eastAsia" w:ascii="仿宋" w:hAnsi="仿宋" w:eastAsia="仿宋" w:cs="仿宋"/>
                <w:sz w:val="21"/>
              </w:rPr>
              <w:t>大数据分析报告书写</w:t>
            </w:r>
          </w:p>
        </w:tc>
      </w:tr>
    </w:tbl>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3.校外实训基地应具备的条件：</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大数据技术应用专业与区域内行业企业深度合作，现有江苏杰士德精密工业有限公司、达闼科技（北京）有限公司、科大讯飞科技公司、华为技术有限公司、江苏山石网科等 9 个稳定的教学实训基地。</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楷体" w:hAnsi="楷体" w:eastAsia="楷体" w:cs="楷体"/>
          <w:sz w:val="30"/>
          <w:szCs w:val="30"/>
        </w:rPr>
      </w:pPr>
      <w:r>
        <w:rPr>
          <w:rFonts w:hint="eastAsia" w:ascii="楷体" w:hAnsi="楷体" w:eastAsia="楷体" w:cs="楷体"/>
          <w:sz w:val="30"/>
          <w:szCs w:val="30"/>
        </w:rPr>
        <w:t>（三）教学资源</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楷体" w:hAnsi="楷体" w:eastAsia="楷体" w:cs="楷体"/>
          <w:sz w:val="30"/>
          <w:szCs w:val="30"/>
        </w:rPr>
      </w:pPr>
      <w:r>
        <w:rPr>
          <w:rFonts w:hint="eastAsia" w:ascii="楷体" w:hAnsi="楷体" w:eastAsia="楷体" w:cs="楷体"/>
          <w:sz w:val="30"/>
          <w:szCs w:val="30"/>
        </w:rPr>
        <w:t>（四）教学方法</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“以学生为中心”，根据学生特点，激发学生学习兴趣；实行任务驱动、项目导向等多种形式的“做中学、做中教”教学模式。</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专业课程采用现场教学法，实践教学法等。</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xml:space="preserve">1.根据任务驱动、职业导入、职业岗位、职业拓展的逻辑线索构建本专业核心课程体系，可实现课程体系由学科体系到工作体系的转变。 </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2.以学生为中心，依循“学习项目→学习任务→技能训练”的课程实训模式，来设计和开发专业核心课程体系，是实现职业技术人才培养的有效途径。</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3.在职业导入过程课程中，通过系列小巧实用的技能训练，让学生在专业知识启蒙的同时，掌握基本技能、建立专业信心、培育职业情感、转换职业角色。</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4.创建融“教、学、做”于一体的教学模式，教师的“教”（点拨、归纳、协助排除难题）和学生的“学与做”（项目操作），能有机融入在项目训练之中。</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楷体" w:hAnsi="楷体" w:eastAsia="楷体" w:cs="楷体"/>
          <w:sz w:val="30"/>
          <w:szCs w:val="30"/>
        </w:rPr>
      </w:pPr>
      <w:r>
        <w:rPr>
          <w:rFonts w:hint="eastAsia" w:ascii="楷体" w:hAnsi="楷体" w:eastAsia="楷体" w:cs="楷体"/>
          <w:sz w:val="30"/>
          <w:szCs w:val="30"/>
        </w:rPr>
        <w:t>（五）学习评价</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根据学分银行实施办法，学生可用职业资格证书申请相应课程的免修，以调动了学生课外主动学习的积极性。</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楷体" w:hAnsi="楷体" w:eastAsia="楷体" w:cs="楷体"/>
          <w:sz w:val="30"/>
          <w:szCs w:val="30"/>
        </w:rPr>
      </w:pPr>
      <w:r>
        <w:rPr>
          <w:rFonts w:hint="eastAsia" w:ascii="楷体" w:hAnsi="楷体" w:eastAsia="楷体" w:cs="楷体"/>
          <w:sz w:val="30"/>
          <w:szCs w:val="30"/>
        </w:rPr>
        <w:t>（六）质量管理</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eastAsia="黑体"/>
          <w:sz w:val="30"/>
          <w:szCs w:val="30"/>
        </w:rPr>
      </w:pPr>
      <w:r>
        <w:rPr>
          <w:rFonts w:hint="eastAsia" w:ascii="黑体" w:hAnsi="黑体" w:eastAsia="黑体"/>
          <w:sz w:val="30"/>
          <w:szCs w:val="30"/>
        </w:rPr>
        <w:t>九、毕业要求</w:t>
      </w:r>
    </w:p>
    <w:p>
      <w:pPr>
        <w:spacing w:line="560" w:lineRule="exact"/>
        <w:ind w:firstLine="600" w:firstLineChars="200"/>
        <w:rPr>
          <w:rFonts w:eastAsia="黑体"/>
        </w:rPr>
      </w:pPr>
      <w:r>
        <w:rPr>
          <w:rFonts w:hint="eastAsia" w:ascii="仿宋" w:hAnsi="仿宋" w:eastAsia="仿宋" w:cs="仿宋"/>
          <w:sz w:val="30"/>
          <w:szCs w:val="30"/>
        </w:rPr>
        <w:t>毕业要求是学生通过规定年限的学习，须修满的专业人才培养方案所规定的学时，完成规定的教学活动，毕业时应达到的素质、知识和能力等方面要求。</w:t>
      </w:r>
    </w:p>
    <w:p>
      <w:pPr>
        <w:ind w:firstLine="460" w:firstLineChars="192"/>
        <w:rPr>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33C5B"/>
    <w:multiLevelType w:val="singleLevel"/>
    <w:tmpl w:val="DC233C5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329"/>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A3870"/>
    <w:rsid w:val="000B168D"/>
    <w:rsid w:val="000B524D"/>
    <w:rsid w:val="000C03C0"/>
    <w:rsid w:val="000C161B"/>
    <w:rsid w:val="000C202A"/>
    <w:rsid w:val="000C3706"/>
    <w:rsid w:val="000C43AC"/>
    <w:rsid w:val="000C4944"/>
    <w:rsid w:val="000C5436"/>
    <w:rsid w:val="000C7A4C"/>
    <w:rsid w:val="000D2E83"/>
    <w:rsid w:val="000D3E1E"/>
    <w:rsid w:val="000D60CA"/>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A7C6D"/>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76B6B"/>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05F"/>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15A1"/>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06A"/>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4F3C"/>
    <w:rsid w:val="0071508F"/>
    <w:rsid w:val="007153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5E0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4A50"/>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340D"/>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0D69"/>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116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0610"/>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76B"/>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5FBF"/>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96D82"/>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45B9"/>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7679B"/>
    <w:rsid w:val="00E80375"/>
    <w:rsid w:val="00E81D78"/>
    <w:rsid w:val="00E82BDD"/>
    <w:rsid w:val="00E84A2C"/>
    <w:rsid w:val="00E93728"/>
    <w:rsid w:val="00E97929"/>
    <w:rsid w:val="00EA199F"/>
    <w:rsid w:val="00EA201E"/>
    <w:rsid w:val="00EA2FC5"/>
    <w:rsid w:val="00EA3AAE"/>
    <w:rsid w:val="00EA461D"/>
    <w:rsid w:val="00EA6E61"/>
    <w:rsid w:val="00EA7782"/>
    <w:rsid w:val="00EA7C52"/>
    <w:rsid w:val="00EA7CF1"/>
    <w:rsid w:val="00EB4F79"/>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3C51"/>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33A0C2B"/>
    <w:rsid w:val="036A59B4"/>
    <w:rsid w:val="038F0F77"/>
    <w:rsid w:val="041E22FB"/>
    <w:rsid w:val="046E2043"/>
    <w:rsid w:val="04BB7ED2"/>
    <w:rsid w:val="05924D4E"/>
    <w:rsid w:val="06995EA2"/>
    <w:rsid w:val="080A5070"/>
    <w:rsid w:val="0843749E"/>
    <w:rsid w:val="08C747EE"/>
    <w:rsid w:val="091361A6"/>
    <w:rsid w:val="0A264499"/>
    <w:rsid w:val="0A4F320E"/>
    <w:rsid w:val="0C9A470F"/>
    <w:rsid w:val="0D2F21E6"/>
    <w:rsid w:val="0D31309F"/>
    <w:rsid w:val="0D732B2C"/>
    <w:rsid w:val="0E1108AC"/>
    <w:rsid w:val="0E224237"/>
    <w:rsid w:val="0E423199"/>
    <w:rsid w:val="0EAA0375"/>
    <w:rsid w:val="0F5509B0"/>
    <w:rsid w:val="108452C1"/>
    <w:rsid w:val="115B693C"/>
    <w:rsid w:val="11890732"/>
    <w:rsid w:val="11A9611E"/>
    <w:rsid w:val="11CC15E8"/>
    <w:rsid w:val="1248188D"/>
    <w:rsid w:val="15030CBF"/>
    <w:rsid w:val="15BF16CB"/>
    <w:rsid w:val="1739003E"/>
    <w:rsid w:val="17442A96"/>
    <w:rsid w:val="17461261"/>
    <w:rsid w:val="17B97ABD"/>
    <w:rsid w:val="18422604"/>
    <w:rsid w:val="19EC6BD7"/>
    <w:rsid w:val="1A741289"/>
    <w:rsid w:val="1ABD1DF6"/>
    <w:rsid w:val="1B1A2373"/>
    <w:rsid w:val="1BA522ED"/>
    <w:rsid w:val="1D1522F2"/>
    <w:rsid w:val="1D174D78"/>
    <w:rsid w:val="1D912C10"/>
    <w:rsid w:val="1E4C7CB2"/>
    <w:rsid w:val="1E8B410F"/>
    <w:rsid w:val="1EB92ACF"/>
    <w:rsid w:val="20607ACB"/>
    <w:rsid w:val="208E5E96"/>
    <w:rsid w:val="2120368E"/>
    <w:rsid w:val="21982431"/>
    <w:rsid w:val="21A50B57"/>
    <w:rsid w:val="22682C67"/>
    <w:rsid w:val="24CD1C80"/>
    <w:rsid w:val="2665408D"/>
    <w:rsid w:val="2709648F"/>
    <w:rsid w:val="27BD5803"/>
    <w:rsid w:val="287D718B"/>
    <w:rsid w:val="289730BA"/>
    <w:rsid w:val="28AA222B"/>
    <w:rsid w:val="29A9603F"/>
    <w:rsid w:val="29C27101"/>
    <w:rsid w:val="29F73A25"/>
    <w:rsid w:val="2A007C29"/>
    <w:rsid w:val="2A135BAE"/>
    <w:rsid w:val="2A8A1B84"/>
    <w:rsid w:val="2A97058D"/>
    <w:rsid w:val="2B84745F"/>
    <w:rsid w:val="2BBC622D"/>
    <w:rsid w:val="2BD73F0E"/>
    <w:rsid w:val="2CD15DCE"/>
    <w:rsid w:val="2D9554F2"/>
    <w:rsid w:val="2E2E745B"/>
    <w:rsid w:val="2ED07704"/>
    <w:rsid w:val="3140197F"/>
    <w:rsid w:val="3201653C"/>
    <w:rsid w:val="325D3E6B"/>
    <w:rsid w:val="33070D20"/>
    <w:rsid w:val="336E5E84"/>
    <w:rsid w:val="344C2856"/>
    <w:rsid w:val="362E0490"/>
    <w:rsid w:val="371043AE"/>
    <w:rsid w:val="376E4783"/>
    <w:rsid w:val="395817C5"/>
    <w:rsid w:val="39700927"/>
    <w:rsid w:val="3A881CA1"/>
    <w:rsid w:val="3AA41AE8"/>
    <w:rsid w:val="3AC71D0D"/>
    <w:rsid w:val="3B48444D"/>
    <w:rsid w:val="3BF51058"/>
    <w:rsid w:val="3CD14FF1"/>
    <w:rsid w:val="3E496D17"/>
    <w:rsid w:val="3EF9251F"/>
    <w:rsid w:val="3F9D3335"/>
    <w:rsid w:val="3FEA4211"/>
    <w:rsid w:val="4069269E"/>
    <w:rsid w:val="41F759DA"/>
    <w:rsid w:val="439F2829"/>
    <w:rsid w:val="43FC76CD"/>
    <w:rsid w:val="45233CAF"/>
    <w:rsid w:val="460D5750"/>
    <w:rsid w:val="46EB3CE3"/>
    <w:rsid w:val="47E70106"/>
    <w:rsid w:val="482E5121"/>
    <w:rsid w:val="4897331F"/>
    <w:rsid w:val="48CD7A4F"/>
    <w:rsid w:val="490948F4"/>
    <w:rsid w:val="498B60E9"/>
    <w:rsid w:val="49A81A17"/>
    <w:rsid w:val="4A6921BC"/>
    <w:rsid w:val="4B1135EE"/>
    <w:rsid w:val="4C39104D"/>
    <w:rsid w:val="4D7A191D"/>
    <w:rsid w:val="4D7A36CB"/>
    <w:rsid w:val="4E1D32BD"/>
    <w:rsid w:val="4ECF1BA4"/>
    <w:rsid w:val="4FAD1406"/>
    <w:rsid w:val="50493828"/>
    <w:rsid w:val="54F965E3"/>
    <w:rsid w:val="56093997"/>
    <w:rsid w:val="56332FB1"/>
    <w:rsid w:val="57262899"/>
    <w:rsid w:val="572B1A2F"/>
    <w:rsid w:val="58306F9A"/>
    <w:rsid w:val="58FA61CD"/>
    <w:rsid w:val="595944D1"/>
    <w:rsid w:val="5A9600C8"/>
    <w:rsid w:val="5BCA7F13"/>
    <w:rsid w:val="5C1967A5"/>
    <w:rsid w:val="5DFF6AED"/>
    <w:rsid w:val="5E1F0D3F"/>
    <w:rsid w:val="610619ED"/>
    <w:rsid w:val="61BD7BD2"/>
    <w:rsid w:val="61D770D4"/>
    <w:rsid w:val="62210161"/>
    <w:rsid w:val="62B17737"/>
    <w:rsid w:val="63085EC5"/>
    <w:rsid w:val="6335576E"/>
    <w:rsid w:val="636447A9"/>
    <w:rsid w:val="661A1A97"/>
    <w:rsid w:val="66546D57"/>
    <w:rsid w:val="674C6628"/>
    <w:rsid w:val="6753473C"/>
    <w:rsid w:val="68D8137E"/>
    <w:rsid w:val="68E50599"/>
    <w:rsid w:val="6A1231B1"/>
    <w:rsid w:val="6A1A02B8"/>
    <w:rsid w:val="6B5C0066"/>
    <w:rsid w:val="6BC524A5"/>
    <w:rsid w:val="6C344AE1"/>
    <w:rsid w:val="6D415B5B"/>
    <w:rsid w:val="6E2816DE"/>
    <w:rsid w:val="6FFF2863"/>
    <w:rsid w:val="705A1D94"/>
    <w:rsid w:val="70671D7D"/>
    <w:rsid w:val="715A029C"/>
    <w:rsid w:val="72F5541E"/>
    <w:rsid w:val="731955B0"/>
    <w:rsid w:val="73701EFD"/>
    <w:rsid w:val="738F4DA6"/>
    <w:rsid w:val="73B451E2"/>
    <w:rsid w:val="749534C9"/>
    <w:rsid w:val="74E514C2"/>
    <w:rsid w:val="75071439"/>
    <w:rsid w:val="75137B94"/>
    <w:rsid w:val="76276BAA"/>
    <w:rsid w:val="786C6E8A"/>
    <w:rsid w:val="7878534F"/>
    <w:rsid w:val="7A0D370B"/>
    <w:rsid w:val="7B881ADD"/>
    <w:rsid w:val="7BF02C26"/>
    <w:rsid w:val="7C1E59E5"/>
    <w:rsid w:val="7C7B1EAF"/>
    <w:rsid w:val="7CF9645E"/>
    <w:rsid w:val="7D4E6C16"/>
    <w:rsid w:val="7D7D0EC6"/>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3">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4">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5">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qFormat/>
    <w:uiPriority w:val="0"/>
    <w:rPr>
      <w:snapToGrid/>
      <w:color w:val="FF0000"/>
      <w:kern w:val="0"/>
      <w:sz w:val="20"/>
    </w:rPr>
  </w:style>
  <w:style w:type="paragraph" w:styleId="6">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7">
    <w:name w:val="annotation text"/>
    <w:basedOn w:val="1"/>
    <w:link w:val="31"/>
    <w:qFormat/>
    <w:uiPriority w:val="0"/>
    <w:pPr>
      <w:jc w:val="left"/>
    </w:pPr>
    <w:rPr>
      <w:snapToGrid/>
      <w:sz w:val="21"/>
      <w:szCs w:val="22"/>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7"/>
    <w:next w:val="7"/>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字符"/>
    <w:link w:val="3"/>
    <w:qFormat/>
    <w:locked/>
    <w:uiPriority w:val="0"/>
    <w:rPr>
      <w:rFonts w:eastAsia="宋体"/>
      <w:b/>
      <w:bCs/>
      <w:kern w:val="44"/>
      <w:sz w:val="44"/>
      <w:szCs w:val="44"/>
      <w:lang w:val="en-US" w:eastAsia="zh-CN" w:bidi="ar-SA"/>
    </w:rPr>
  </w:style>
  <w:style w:type="character" w:customStyle="1" w:styleId="28">
    <w:name w:val="标题 2 字符"/>
    <w:link w:val="4"/>
    <w:qFormat/>
    <w:locked/>
    <w:uiPriority w:val="0"/>
    <w:rPr>
      <w:rFonts w:ascii="Arial" w:hAnsi="Arial" w:eastAsia="黑体" w:cs="Arial"/>
      <w:b/>
      <w:bCs/>
      <w:kern w:val="2"/>
      <w:sz w:val="32"/>
      <w:szCs w:val="32"/>
      <w:lang w:val="en-US" w:eastAsia="zh-CN" w:bidi="ar-SA"/>
    </w:rPr>
  </w:style>
  <w:style w:type="character" w:customStyle="1" w:styleId="29">
    <w:name w:val="标题 3 字符"/>
    <w:link w:val="5"/>
    <w:semiHidden/>
    <w:qFormat/>
    <w:locked/>
    <w:uiPriority w:val="0"/>
    <w:rPr>
      <w:rFonts w:eastAsia="宋体"/>
      <w:b/>
      <w:bCs/>
      <w:kern w:val="2"/>
      <w:sz w:val="32"/>
      <w:szCs w:val="32"/>
      <w:lang w:val="en-US" w:eastAsia="zh-CN" w:bidi="ar-SA"/>
    </w:rPr>
  </w:style>
  <w:style w:type="character" w:customStyle="1" w:styleId="30">
    <w:name w:val="文档结构图 字符"/>
    <w:link w:val="6"/>
    <w:qFormat/>
    <w:locked/>
    <w:uiPriority w:val="0"/>
    <w:rPr>
      <w:rFonts w:eastAsia="宋体"/>
      <w:kern w:val="2"/>
      <w:sz w:val="24"/>
      <w:szCs w:val="24"/>
      <w:lang w:val="en-US" w:eastAsia="zh-CN" w:bidi="ar-SA"/>
    </w:rPr>
  </w:style>
  <w:style w:type="character" w:customStyle="1" w:styleId="31">
    <w:name w:val="批注文字 字符"/>
    <w:link w:val="7"/>
    <w:qFormat/>
    <w:uiPriority w:val="0"/>
    <w:rPr>
      <w:kern w:val="2"/>
      <w:sz w:val="21"/>
      <w:szCs w:val="22"/>
    </w:rPr>
  </w:style>
  <w:style w:type="character" w:customStyle="1" w:styleId="32">
    <w:name w:val="正文文本 字符"/>
    <w:link w:val="2"/>
    <w:qFormat/>
    <w:locked/>
    <w:uiPriority w:val="0"/>
    <w:rPr>
      <w:color w:val="FF0000"/>
      <w:szCs w:val="21"/>
    </w:rPr>
  </w:style>
  <w:style w:type="character" w:customStyle="1" w:styleId="33">
    <w:name w:val="正文文本缩进 字符"/>
    <w:link w:val="8"/>
    <w:qFormat/>
    <w:locked/>
    <w:uiPriority w:val="0"/>
    <w:rPr>
      <w:rFonts w:eastAsia="宋体"/>
      <w:kern w:val="2"/>
      <w:sz w:val="21"/>
      <w:szCs w:val="21"/>
      <w:lang w:val="en-US" w:eastAsia="zh-CN" w:bidi="ar-SA"/>
    </w:rPr>
  </w:style>
  <w:style w:type="character" w:customStyle="1" w:styleId="34">
    <w:name w:val="纯文本 字符"/>
    <w:link w:val="9"/>
    <w:qFormat/>
    <w:locked/>
    <w:uiPriority w:val="0"/>
    <w:rPr>
      <w:rFonts w:ascii="宋体" w:hAnsi="Courier New"/>
      <w:kern w:val="2"/>
      <w:sz w:val="21"/>
      <w:lang w:bidi="ar-SA"/>
    </w:rPr>
  </w:style>
  <w:style w:type="character" w:customStyle="1" w:styleId="35">
    <w:name w:val="日期 字符"/>
    <w:link w:val="10"/>
    <w:semiHidden/>
    <w:qFormat/>
    <w:locked/>
    <w:uiPriority w:val="0"/>
    <w:rPr>
      <w:rFonts w:eastAsia="宋体"/>
      <w:lang w:val="en-US" w:eastAsia="zh-CN" w:bidi="ar-SA"/>
    </w:rPr>
  </w:style>
  <w:style w:type="character" w:customStyle="1" w:styleId="36">
    <w:name w:val="正文文本缩进 2 字符"/>
    <w:link w:val="11"/>
    <w:qFormat/>
    <w:locked/>
    <w:uiPriority w:val="0"/>
    <w:rPr>
      <w:rFonts w:ascii="宋体"/>
      <w:kern w:val="2"/>
      <w:sz w:val="24"/>
      <w:lang w:bidi="ar-SA"/>
    </w:rPr>
  </w:style>
  <w:style w:type="character" w:customStyle="1" w:styleId="37">
    <w:name w:val="批注框文本 字符"/>
    <w:link w:val="12"/>
    <w:qFormat/>
    <w:locked/>
    <w:uiPriority w:val="0"/>
    <w:rPr>
      <w:rFonts w:eastAsia="宋体"/>
      <w:snapToGrid w:val="0"/>
      <w:kern w:val="2"/>
      <w:sz w:val="18"/>
      <w:szCs w:val="18"/>
      <w:lang w:val="en-US" w:eastAsia="zh-CN" w:bidi="ar-SA"/>
    </w:rPr>
  </w:style>
  <w:style w:type="character" w:customStyle="1" w:styleId="38">
    <w:name w:val="页脚 字符"/>
    <w:link w:val="13"/>
    <w:qFormat/>
    <w:uiPriority w:val="0"/>
    <w:rPr>
      <w:sz w:val="18"/>
      <w:szCs w:val="18"/>
    </w:rPr>
  </w:style>
  <w:style w:type="character" w:customStyle="1" w:styleId="39">
    <w:name w:val="页眉 字符"/>
    <w:link w:val="14"/>
    <w:qFormat/>
    <w:uiPriority w:val="0"/>
    <w:rPr>
      <w:sz w:val="18"/>
      <w:szCs w:val="18"/>
    </w:rPr>
  </w:style>
  <w:style w:type="character" w:customStyle="1" w:styleId="40">
    <w:name w:val="标题 字符"/>
    <w:link w:val="17"/>
    <w:qFormat/>
    <w:uiPriority w:val="0"/>
    <w:rPr>
      <w:rFonts w:ascii="Cambria" w:hAnsi="Cambria" w:cs="Times New Roman"/>
      <w:b/>
      <w:bCs/>
      <w:kern w:val="2"/>
      <w:sz w:val="32"/>
      <w:szCs w:val="32"/>
    </w:rPr>
  </w:style>
  <w:style w:type="character" w:customStyle="1" w:styleId="41">
    <w:name w:val="批注主题 字符"/>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7"/>
    <w:next w:val="7"/>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13091</Words>
  <Characters>13698</Characters>
  <Lines>109</Lines>
  <Paragraphs>30</Paragraphs>
  <TotalTime>0</TotalTime>
  <ScaleCrop>false</ScaleCrop>
  <LinksUpToDate>false</LinksUpToDate>
  <CharactersWithSpaces>13791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2023-08-25T04:07:47Z</dcterms:modified>
  <dc:title>中等职业学校计算机网络技术专业教学标准</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5A92C07C186F48FDBBA2CBB85D7D72BE_13</vt:lpwstr>
  </property>
</Properties>
</file>