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方正小标宋简体" w:hAnsi="宋体" w:eastAsia="方正小标宋简体"/>
          <w:sz w:val="48"/>
          <w:szCs w:val="48"/>
        </w:rPr>
      </w:pPr>
    </w:p>
    <w:p>
      <w:pPr>
        <w:keepNext w:val="0"/>
        <w:keepLines w:val="0"/>
        <w:pageBreakBefore w:val="0"/>
        <w:widowControl w:val="0"/>
        <w:kinsoku/>
        <w:wordWrap/>
        <w:overflowPunct/>
        <w:autoSpaceDE/>
        <w:autoSpaceDN/>
        <w:bidi w:val="0"/>
        <w:spacing w:line="660" w:lineRule="exact"/>
        <w:jc w:val="center"/>
        <w:textAlignment w:val="auto"/>
        <w:rPr>
          <w:rFonts w:ascii="华文中宋" w:hAnsi="华文中宋" w:eastAsia="华文中宋"/>
          <w:b w:val="0"/>
          <w:bCs w:val="0"/>
          <w:sz w:val="48"/>
          <w:szCs w:val="48"/>
        </w:rPr>
      </w:pPr>
      <w:r>
        <w:rPr>
          <w:rFonts w:hint="eastAsia" w:ascii="华文中宋" w:hAnsi="华文中宋" w:eastAsia="华文中宋"/>
          <w:b w:val="0"/>
          <w:bCs w:val="0"/>
          <w:sz w:val="48"/>
          <w:szCs w:val="48"/>
        </w:rPr>
        <w:t>河南省驻马店财经学校</w:t>
      </w:r>
    </w:p>
    <w:p>
      <w:pPr>
        <w:pStyle w:val="13"/>
        <w:keepNext w:val="0"/>
        <w:keepLines w:val="0"/>
        <w:pageBreakBefore w:val="0"/>
        <w:widowControl w:val="0"/>
        <w:kinsoku/>
        <w:wordWrap/>
        <w:overflowPunct/>
        <w:autoSpaceDE/>
        <w:autoSpaceDN/>
        <w:bidi w:val="0"/>
        <w:spacing w:beforeLines="0" w:afterLines="0" w:line="660" w:lineRule="exact"/>
        <w:ind w:firstLine="0"/>
        <w:jc w:val="center"/>
        <w:textAlignment w:val="auto"/>
        <w:rPr>
          <w:rFonts w:ascii="华文中宋" w:hAnsi="华文中宋" w:eastAsia="华文中宋"/>
          <w:b/>
          <w:bCs/>
          <w:sz w:val="48"/>
          <w:szCs w:val="48"/>
        </w:rPr>
      </w:pPr>
      <w:r>
        <w:rPr>
          <w:rFonts w:hint="eastAsia" w:ascii="华文中宋" w:hAnsi="华文中宋" w:eastAsia="华文中宋"/>
          <w:b w:val="0"/>
          <w:bCs w:val="0"/>
          <w:sz w:val="48"/>
          <w:szCs w:val="48"/>
        </w:rPr>
        <w:t>工业机器人技术应用人才培养方案</w:t>
      </w:r>
    </w:p>
    <w:p>
      <w:pPr>
        <w:spacing w:line="480" w:lineRule="auto"/>
        <w:rPr>
          <w:rFonts w:ascii="黑体" w:hAnsi="宋体" w:eastAsia="黑体"/>
          <w:sz w:val="52"/>
          <w:szCs w:val="52"/>
        </w:rPr>
      </w:pPr>
    </w:p>
    <w:p>
      <w:pPr>
        <w:pStyle w:val="2"/>
        <w:rPr>
          <w:rFonts w:ascii="黑体" w:eastAsia="黑体"/>
          <w:sz w:val="52"/>
          <w:szCs w:val="52"/>
        </w:rPr>
      </w:pPr>
    </w:p>
    <w:p>
      <w:pPr>
        <w:rPr>
          <w:rFonts w:ascii="黑体" w:hAnsi="宋体" w:eastAsia="黑体"/>
          <w:sz w:val="52"/>
          <w:szCs w:val="52"/>
        </w:rPr>
      </w:pPr>
    </w:p>
    <w:p>
      <w:pPr>
        <w:pStyle w:val="2"/>
        <w:rPr>
          <w:rFonts w:ascii="黑体" w:eastAsia="黑体"/>
          <w:sz w:val="52"/>
          <w:szCs w:val="52"/>
        </w:rPr>
      </w:pPr>
    </w:p>
    <w:p/>
    <w:p>
      <w:pPr>
        <w:pStyle w:val="2"/>
      </w:pPr>
    </w:p>
    <w:p>
      <w:pPr>
        <w:pStyle w:val="2"/>
      </w:pPr>
    </w:p>
    <w:p/>
    <w:p>
      <w:pPr>
        <w:pStyle w:val="2"/>
      </w:pPr>
    </w:p>
    <w:p/>
    <w:p>
      <w:pPr>
        <w:pStyle w:val="2"/>
      </w:pPr>
    </w:p>
    <w:p/>
    <w:p>
      <w:pPr>
        <w:spacing w:line="480" w:lineRule="auto"/>
        <w:rPr>
          <w:rFonts w:ascii="黑体" w:hAnsi="宋体" w:eastAsia="黑体"/>
          <w:sz w:val="52"/>
          <w:szCs w:val="52"/>
        </w:rPr>
      </w:pPr>
    </w:p>
    <w:p>
      <w:pPr>
        <w:pStyle w:val="2"/>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宋体" w:eastAsia="黑体"/>
          <w:sz w:val="36"/>
          <w:szCs w:val="36"/>
        </w:rPr>
      </w:pPr>
      <w:r>
        <w:rPr>
          <w:rFonts w:hint="eastAsia" w:ascii="黑体" w:hAnsi="宋体" w:eastAsia="黑体"/>
          <w:sz w:val="36"/>
          <w:szCs w:val="36"/>
        </w:rPr>
        <w:t>2023年5月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宋体" w:eastAsia="黑体"/>
          <w:sz w:val="36"/>
          <w:szCs w:val="36"/>
        </w:rPr>
        <w:sectPr>
          <w:headerReference r:id="rId4" w:type="first"/>
          <w:footerReference r:id="rId7" w:type="first"/>
          <w:headerReference r:id="rId3" w:type="default"/>
          <w:footerReference r:id="rId5" w:type="default"/>
          <w:footerReference r:id="rId6" w:type="even"/>
          <w:pgSz w:w="11907" w:h="16840"/>
          <w:pgMar w:top="1134" w:right="1134" w:bottom="1134" w:left="1134" w:header="851" w:footer="1247" w:gutter="0"/>
          <w:pgNumType w:start="0"/>
          <w:cols w:space="720" w:num="1"/>
          <w:titlePg/>
          <w:docGrid w:type="linesAndChars" w:linePitch="400" w:charSpace="0"/>
        </w:sectPr>
      </w:pPr>
    </w:p>
    <w:p>
      <w:pPr>
        <w:jc w:val="center"/>
        <w:rPr>
          <w:rFonts w:ascii="黑体" w:hAnsi="宋体" w:eastAsia="黑体"/>
          <w:b w:val="0"/>
          <w:bCs w:val="0"/>
          <w:sz w:val="32"/>
          <w:szCs w:val="32"/>
        </w:rPr>
      </w:pPr>
      <w:bookmarkStart w:id="2" w:name="_GoBack"/>
      <w:bookmarkEnd w:id="2"/>
      <w:r>
        <w:rPr>
          <w:rFonts w:hint="eastAsia" w:ascii="黑体" w:hAnsi="黑体" w:eastAsia="黑体" w:cs="黑体"/>
          <w:b w:val="0"/>
          <w:bCs w:val="0"/>
          <w:sz w:val="32"/>
          <w:szCs w:val="32"/>
        </w:rPr>
        <w:t>目    录</w:t>
      </w:r>
    </w:p>
    <w:p>
      <w:pPr>
        <w:jc w:val="center"/>
        <w:rPr>
          <w:rFonts w:ascii="黑体" w:hAnsi="黑体" w:eastAsia="黑体" w:cs="黑体"/>
          <w:b/>
          <w:bCs/>
          <w:sz w:val="32"/>
          <w:szCs w:val="32"/>
        </w:rPr>
      </w:pPr>
    </w:p>
    <w:p>
      <w:pPr>
        <w:pStyle w:val="13"/>
        <w:snapToGrid/>
        <w:spacing w:beforeLines="0" w:afterLines="0" w:line="48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3"/>
        <w:snapToGrid/>
        <w:spacing w:beforeLines="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3"/>
        <w:snapToGrid/>
        <w:spacing w:beforeLines="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3"/>
        <w:snapToGrid/>
        <w:spacing w:beforeLines="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3"/>
        <w:snapToGrid/>
        <w:spacing w:beforeLines="0" w:afterLines="0" w:line="48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rPr>
        <w:t>2</w:t>
      </w:r>
      <w:r>
        <w:rPr>
          <w:rFonts w:ascii="Times New Roman" w:hAnsi="Viner Hand ITC" w:eastAsia="黑体"/>
          <w:b w:val="0"/>
          <w:bCs w:val="0"/>
          <w:sz w:val="24"/>
          <w:szCs w:val="24"/>
        </w:rPr>
        <w:t>）</w:t>
      </w:r>
    </w:p>
    <w:p>
      <w:pPr>
        <w:pStyle w:val="13"/>
        <w:snapToGrid/>
        <w:spacing w:beforeLines="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3</w:t>
      </w:r>
      <w:r>
        <w:rPr>
          <w:rFonts w:ascii="Times New Roman" w:hAnsi="Viner Hand ITC" w:eastAsia="黑体"/>
          <w:b w:val="0"/>
          <w:bCs w:val="0"/>
          <w:sz w:val="24"/>
          <w:szCs w:val="24"/>
        </w:rPr>
        <w:t>）</w:t>
      </w:r>
    </w:p>
    <w:p>
      <w:pPr>
        <w:pStyle w:val="13"/>
        <w:snapToGrid/>
        <w:spacing w:beforeLines="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hint="eastAsia" w:ascii="宋体" w:hAnsi="宋体" w:eastAsia="宋体"/>
          <w:b w:val="0"/>
          <w:bCs w:val="0"/>
          <w:sz w:val="24"/>
          <w:szCs w:val="24"/>
          <w:lang w:val="en-US" w:eastAsia="zh-CN"/>
        </w:rPr>
        <w:t xml:space="preserve">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3"/>
        <w:snapToGrid/>
        <w:spacing w:beforeLines="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hint="eastAsia" w:ascii="宋体" w:hAnsi="宋体" w:eastAsia="宋体"/>
          <w:b w:val="0"/>
          <w:bCs w:val="0"/>
          <w:sz w:val="24"/>
          <w:szCs w:val="24"/>
          <w:lang w:val="en-US" w:eastAsia="zh-CN"/>
        </w:rPr>
        <w:t xml:space="preserve">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14</w:t>
      </w:r>
      <w:r>
        <w:rPr>
          <w:rFonts w:ascii="Times New Roman" w:hAnsi="Times New Roman" w:eastAsia="黑体"/>
          <w:b w:val="0"/>
          <w:bCs w:val="0"/>
          <w:sz w:val="24"/>
          <w:szCs w:val="24"/>
        </w:rPr>
        <w:t>）</w:t>
      </w:r>
    </w:p>
    <w:p>
      <w:pPr>
        <w:pStyle w:val="13"/>
        <w:snapToGrid/>
        <w:spacing w:beforeLines="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九、毕业要求………………………………………………………………………</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19</w:t>
      </w:r>
      <w:r>
        <w:rPr>
          <w:rFonts w:ascii="Times New Roman" w:hAnsi="Viner Hand ITC" w:eastAsia="黑体"/>
          <w:b w:val="0"/>
          <w:bCs w:val="0"/>
          <w:sz w:val="24"/>
          <w:szCs w:val="24"/>
        </w:rPr>
        <w:t>）</w:t>
      </w:r>
    </w:p>
    <w:p>
      <w:pPr>
        <w:pStyle w:val="14"/>
        <w:spacing w:before="624" w:beforeLines="200" w:after="624" w:afterLines="200"/>
        <w:rPr>
          <w:u w:val="none"/>
        </w:rPr>
      </w:pPr>
    </w:p>
    <w:p>
      <w:pPr>
        <w:pStyle w:val="14"/>
        <w:spacing w:before="624" w:beforeLines="200" w:after="624" w:afterLines="200"/>
        <w:rPr>
          <w:u w:val="none"/>
        </w:rPr>
      </w:pPr>
    </w:p>
    <w:p>
      <w:pPr>
        <w:pStyle w:val="14"/>
        <w:spacing w:before="624" w:beforeLines="200" w:after="624" w:afterLines="200"/>
        <w:rPr>
          <w:u w:val="none"/>
        </w:rPr>
      </w:pPr>
    </w:p>
    <w:p>
      <w:pPr>
        <w:pStyle w:val="13"/>
        <w:keepNext w:val="0"/>
        <w:keepLines w:val="0"/>
        <w:pageBreakBefore w:val="0"/>
        <w:widowControl w:val="0"/>
        <w:kinsoku/>
        <w:wordWrap/>
        <w:overflowPunct/>
        <w:topLinePunct/>
        <w:autoSpaceDE/>
        <w:autoSpaceDN/>
        <w:bidi w:val="0"/>
        <w:adjustRightInd w:val="0"/>
        <w:snapToGrid w:val="0"/>
        <w:spacing w:beforeLines="0" w:afterLines="0" w:line="660" w:lineRule="exact"/>
        <w:ind w:firstLine="0"/>
        <w:jc w:val="center"/>
        <w:textAlignment w:val="auto"/>
        <w:rPr>
          <w:rFonts w:ascii="华文中宋" w:hAnsi="华文中宋" w:eastAsia="华文中宋"/>
          <w:b w:val="0"/>
          <w:bCs w:val="0"/>
          <w:sz w:val="44"/>
          <w:szCs w:val="44"/>
        </w:rPr>
      </w:pPr>
      <w:r>
        <w:rPr>
          <w:rFonts w:ascii="方正小标宋简体" w:eastAsia="方正小标宋简体"/>
          <w:sz w:val="44"/>
          <w:szCs w:val="44"/>
        </w:rPr>
        <w:br w:type="page"/>
      </w:r>
      <w:r>
        <w:rPr>
          <w:rFonts w:hint="eastAsia" w:ascii="华文中宋" w:hAnsi="华文中宋" w:eastAsia="华文中宋"/>
          <w:b w:val="0"/>
          <w:bCs w:val="0"/>
          <w:sz w:val="44"/>
          <w:szCs w:val="44"/>
        </w:rPr>
        <w:t>河南省驻马店财经学校</w:t>
      </w:r>
    </w:p>
    <w:p>
      <w:pPr>
        <w:pStyle w:val="13"/>
        <w:keepNext w:val="0"/>
        <w:keepLines w:val="0"/>
        <w:pageBreakBefore w:val="0"/>
        <w:widowControl w:val="0"/>
        <w:kinsoku/>
        <w:wordWrap/>
        <w:overflowPunct/>
        <w:topLinePunct/>
        <w:autoSpaceDE/>
        <w:autoSpaceDN/>
        <w:bidi w:val="0"/>
        <w:adjustRightInd w:val="0"/>
        <w:snapToGrid w:val="0"/>
        <w:spacing w:beforeLines="0" w:afterLines="0" w:line="660" w:lineRule="exact"/>
        <w:ind w:firstLine="0"/>
        <w:jc w:val="center"/>
        <w:textAlignment w:val="auto"/>
        <w:rPr>
          <w:rFonts w:ascii="华文中宋" w:hAnsi="华文中宋" w:eastAsia="华文中宋"/>
          <w:b w:val="0"/>
          <w:bCs w:val="0"/>
          <w:sz w:val="44"/>
          <w:szCs w:val="44"/>
        </w:rPr>
      </w:pPr>
      <w:r>
        <w:rPr>
          <w:rFonts w:hint="eastAsia" w:ascii="华文中宋" w:hAnsi="华文中宋" w:eastAsia="华文中宋"/>
          <w:b w:val="0"/>
          <w:bCs w:val="0"/>
          <w:sz w:val="44"/>
          <w:szCs w:val="44"/>
        </w:rPr>
        <w:t>工业机器人技术应用人才培养方案</w:t>
      </w:r>
    </w:p>
    <w:p>
      <w:pPr>
        <w:overflowPunct w:val="0"/>
        <w:snapToGrid w:val="0"/>
        <w:spacing w:line="400" w:lineRule="exact"/>
        <w:rPr>
          <w:rFonts w:ascii="仿宋_GB2312" w:hAnsi="Times New Roman" w:cs="Calibri"/>
          <w:color w:val="000000"/>
          <w:sz w:val="24"/>
          <w:szCs w:val="24"/>
        </w:rPr>
      </w:pPr>
    </w:p>
    <w:p>
      <w:pPr>
        <w:pStyle w:val="3"/>
        <w:ind w:firstLine="600"/>
      </w:pPr>
      <w:r>
        <w:rPr>
          <w:rFonts w:hint="eastAsia"/>
        </w:rPr>
        <w:t>一、专业名称及代码</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专业名称：工业机器人技术应用</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专业代码：660303</w:t>
      </w:r>
    </w:p>
    <w:p>
      <w:pPr>
        <w:pStyle w:val="3"/>
        <w:ind w:firstLine="600"/>
      </w:pPr>
      <w:r>
        <w:rPr>
          <w:rFonts w:hint="eastAsia"/>
        </w:rPr>
        <w:t>二、入学要求</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初中毕业或具有同等学力者。</w:t>
      </w:r>
    </w:p>
    <w:p>
      <w:pPr>
        <w:pStyle w:val="3"/>
        <w:ind w:firstLine="600"/>
      </w:pPr>
      <w:r>
        <w:rPr>
          <w:rFonts w:hint="eastAsia"/>
        </w:rPr>
        <w:t>三、修业年限</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基本学制3年</w:t>
      </w:r>
    </w:p>
    <w:p>
      <w:pPr>
        <w:pStyle w:val="3"/>
        <w:numPr>
          <w:ilvl w:val="0"/>
          <w:numId w:val="1"/>
        </w:numPr>
        <w:ind w:firstLine="600"/>
      </w:pPr>
      <w:r>
        <w:rPr>
          <w:rFonts w:hint="eastAsia"/>
        </w:rPr>
        <w:t>职业面向</w:t>
      </w:r>
    </w:p>
    <w:tbl>
      <w:tblPr>
        <w:tblStyle w:val="8"/>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2880"/>
        <w:gridCol w:w="39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547" w:type="dxa"/>
            <w:shd w:val="clear" w:color="auto" w:fill="auto"/>
            <w:vAlign w:val="center"/>
          </w:tcPr>
          <w:p>
            <w:pPr>
              <w:spacing w:line="480" w:lineRule="exact"/>
              <w:jc w:val="center"/>
              <w:rPr>
                <w:rFonts w:ascii="黑体" w:hAnsi="黑体" w:eastAsia="黑体" w:cs="黑体"/>
                <w:bCs/>
                <w:sz w:val="24"/>
                <w:szCs w:val="24"/>
              </w:rPr>
            </w:pPr>
            <w:r>
              <w:rPr>
                <w:rFonts w:hint="eastAsia" w:ascii="黑体" w:hAnsi="黑体" w:eastAsia="黑体" w:cs="黑体"/>
                <w:bCs/>
                <w:sz w:val="24"/>
                <w:szCs w:val="24"/>
              </w:rPr>
              <w:t>序号</w:t>
            </w:r>
          </w:p>
        </w:tc>
        <w:tc>
          <w:tcPr>
            <w:tcW w:w="2880" w:type="dxa"/>
            <w:shd w:val="clear" w:color="auto" w:fill="auto"/>
            <w:vAlign w:val="center"/>
          </w:tcPr>
          <w:p>
            <w:pPr>
              <w:spacing w:line="480" w:lineRule="exact"/>
              <w:jc w:val="center"/>
              <w:rPr>
                <w:rFonts w:ascii="黑体" w:hAnsi="黑体" w:eastAsia="黑体" w:cs="黑体"/>
                <w:bCs/>
                <w:sz w:val="24"/>
                <w:szCs w:val="24"/>
              </w:rPr>
            </w:pPr>
            <w:r>
              <w:rPr>
                <w:rFonts w:hint="eastAsia" w:ascii="黑体" w:hAnsi="黑体" w:eastAsia="黑体" w:cs="黑体"/>
                <w:bCs/>
                <w:sz w:val="24"/>
                <w:szCs w:val="24"/>
              </w:rPr>
              <w:t>专业化方向</w:t>
            </w:r>
          </w:p>
        </w:tc>
        <w:tc>
          <w:tcPr>
            <w:tcW w:w="3990" w:type="dxa"/>
            <w:shd w:val="clear" w:color="auto" w:fill="auto"/>
            <w:vAlign w:val="center"/>
          </w:tcPr>
          <w:p>
            <w:pPr>
              <w:spacing w:line="480" w:lineRule="exact"/>
              <w:jc w:val="center"/>
              <w:rPr>
                <w:rFonts w:ascii="黑体" w:hAnsi="黑体" w:eastAsia="黑体" w:cs="黑体"/>
                <w:bCs/>
                <w:sz w:val="24"/>
                <w:szCs w:val="24"/>
              </w:rPr>
            </w:pPr>
            <w:r>
              <w:rPr>
                <w:rFonts w:hint="eastAsia" w:ascii="黑体" w:hAnsi="黑体" w:eastAsia="黑体" w:cs="黑体"/>
                <w:bCs/>
                <w:sz w:val="24"/>
                <w:szCs w:val="24"/>
              </w:rPr>
              <w:t>职业岗位</w:t>
            </w:r>
          </w:p>
        </w:tc>
        <w:tc>
          <w:tcPr>
            <w:tcW w:w="2412" w:type="dxa"/>
            <w:shd w:val="clear" w:color="auto" w:fill="auto"/>
            <w:vAlign w:val="center"/>
          </w:tcPr>
          <w:p>
            <w:pPr>
              <w:spacing w:line="480" w:lineRule="exact"/>
              <w:jc w:val="center"/>
              <w:rPr>
                <w:rFonts w:ascii="黑体" w:hAnsi="黑体" w:eastAsia="黑体" w:cs="黑体"/>
                <w:bCs/>
                <w:sz w:val="24"/>
                <w:szCs w:val="24"/>
                <w:lang w:eastAsia="en-US"/>
              </w:rPr>
            </w:pPr>
            <w:r>
              <w:rPr>
                <w:rFonts w:hint="eastAsia" w:ascii="黑体" w:hAnsi="黑体" w:eastAsia="黑体" w:cs="黑体"/>
                <w:bCs/>
                <w:sz w:val="24"/>
                <w:szCs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547"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288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工业机器人操作及维护</w:t>
            </w:r>
          </w:p>
        </w:tc>
        <w:tc>
          <w:tcPr>
            <w:tcW w:w="399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设备操作员、机器人运行维护与管理</w:t>
            </w:r>
          </w:p>
        </w:tc>
        <w:tc>
          <w:tcPr>
            <w:tcW w:w="2412" w:type="dxa"/>
            <w:vMerge w:val="restart"/>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CAD职业资格证</w:t>
            </w:r>
          </w:p>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PLC程序员</w:t>
            </w:r>
          </w:p>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维修电工中级工证</w:t>
            </w:r>
          </w:p>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工业机器人操作员证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47"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2</w:t>
            </w:r>
          </w:p>
        </w:tc>
        <w:tc>
          <w:tcPr>
            <w:tcW w:w="288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工业机器人调试及售后</w:t>
            </w:r>
          </w:p>
        </w:tc>
        <w:tc>
          <w:tcPr>
            <w:tcW w:w="399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工业机器人工作站设计与安装、销售客服工程师</w:t>
            </w:r>
          </w:p>
        </w:tc>
        <w:tc>
          <w:tcPr>
            <w:tcW w:w="2412" w:type="dxa"/>
            <w:vMerge w:val="continue"/>
            <w:shd w:val="clear" w:color="auto" w:fill="auto"/>
            <w:vAlign w:val="center"/>
          </w:tcPr>
          <w:p>
            <w:pPr>
              <w:overflowPunct w:val="0"/>
              <w:spacing w:line="560" w:lineRule="exact"/>
              <w:ind w:firstLine="600" w:firstLineChars="20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47" w:type="dxa"/>
            <w:shd w:val="clear" w:color="auto" w:fill="auto"/>
            <w:vAlign w:val="center"/>
          </w:tcPr>
          <w:p>
            <w:pPr>
              <w:tabs>
                <w:tab w:val="left" w:pos="280"/>
              </w:tabs>
              <w:overflowPunct w:val="0"/>
              <w:spacing w:line="480" w:lineRule="exact"/>
              <w:rPr>
                <w:rFonts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3</w:t>
            </w:r>
          </w:p>
        </w:tc>
        <w:tc>
          <w:tcPr>
            <w:tcW w:w="288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工业机器人中级工程师</w:t>
            </w:r>
          </w:p>
        </w:tc>
        <w:tc>
          <w:tcPr>
            <w:tcW w:w="399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工业机器人中级工程师</w:t>
            </w:r>
          </w:p>
        </w:tc>
        <w:tc>
          <w:tcPr>
            <w:tcW w:w="2412" w:type="dxa"/>
            <w:vMerge w:val="continue"/>
            <w:shd w:val="clear" w:color="auto" w:fill="auto"/>
            <w:vAlign w:val="center"/>
          </w:tcPr>
          <w:p>
            <w:pPr>
              <w:overflowPunct w:val="0"/>
              <w:spacing w:line="560" w:lineRule="exact"/>
              <w:ind w:firstLine="600" w:firstLineChars="200"/>
              <w:rPr>
                <w:rFonts w:ascii="仿宋" w:hAnsi="仿宋" w:eastAsia="仿宋" w:cs="仿宋"/>
              </w:rPr>
            </w:pPr>
          </w:p>
        </w:tc>
      </w:tr>
    </w:tbl>
    <w:p>
      <w:pPr>
        <w:pStyle w:val="3"/>
        <w:numPr>
          <w:ilvl w:val="0"/>
          <w:numId w:val="1"/>
        </w:numPr>
        <w:ind w:left="0" w:leftChars="0" w:firstLine="600" w:firstLineChars="200"/>
      </w:pPr>
      <w:r>
        <w:rPr>
          <w:rFonts w:hint="eastAsia"/>
        </w:rPr>
        <w:t>培养目标与培养规格</w:t>
      </w:r>
    </w:p>
    <w:p>
      <w:pPr>
        <w:pStyle w:val="3"/>
        <w:numPr>
          <w:ilvl w:val="0"/>
          <w:numId w:val="0"/>
        </w:numPr>
        <w:ind w:firstLine="300" w:firstLineChars="100"/>
        <w:rPr>
          <w:rFonts w:hint="eastAsia" w:ascii="Arial" w:hAnsi="Arial" w:eastAsia="楷体" w:cs="Arial"/>
          <w:bCs/>
          <w:kern w:val="2"/>
          <w:sz w:val="30"/>
          <w:szCs w:val="32"/>
          <w:lang w:val="en-US" w:eastAsia="zh-CN" w:bidi="ar-SA"/>
        </w:rPr>
      </w:pPr>
      <w:r>
        <w:rPr>
          <w:rFonts w:hint="eastAsia" w:ascii="Arial" w:hAnsi="Arial" w:eastAsia="楷体" w:cs="Arial"/>
          <w:bCs/>
          <w:kern w:val="2"/>
          <w:sz w:val="30"/>
          <w:szCs w:val="32"/>
          <w:lang w:val="en-US" w:eastAsia="zh-CN" w:bidi="ar-SA"/>
        </w:rPr>
        <w:t>（一）培养目标</w:t>
      </w:r>
    </w:p>
    <w:p>
      <w:pPr>
        <w:overflowPunct w:val="0"/>
        <w:spacing w:line="560" w:lineRule="exact"/>
        <w:ind w:firstLine="600" w:firstLineChars="200"/>
        <w:rPr>
          <w:rFonts w:ascii="仿宋" w:hAnsi="仿宋" w:eastAsia="仿宋" w:cs="仿宋"/>
        </w:rPr>
      </w:pPr>
      <w:r>
        <w:rPr>
          <w:rFonts w:hint="eastAsia" w:ascii="仿宋" w:hAnsi="仿宋" w:eastAsia="仿宋" w:cs="仿宋"/>
        </w:rPr>
        <w:t>以习近平新时代中国特色社会主义思想为指导，深入贯彻党的十九大精神，在职教二十条的引领下，落实立德树人根本任务，坚持面向市场、服务发展、促进就业的 办学方向，健全德技双修、工学结合育人机制，构建德智体美劳全面发展的人才培养 体系，突出职业教育的类型特点，深化产教融合、校企合作，推进教师、教材、教法 改革，规范人才培养全过程，培养面向各行业中机电产品、自动化设备与生产自动线 的制造、运行维护和管理的岗位群，具备机电产品、自动化设备和生产线的安装、调 试、运行、维护维修、营销、初步开发等综合职业能力和可持续发展能力的发展型、 复合型和创新型技术技能人才。</w:t>
      </w:r>
    </w:p>
    <w:p>
      <w:pPr>
        <w:pStyle w:val="4"/>
        <w:ind w:firstLine="600"/>
      </w:pPr>
      <w:r>
        <w:rPr>
          <w:rFonts w:hint="eastAsia"/>
        </w:rPr>
        <w:t>（二）培养规格</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rPr>
        <w:t>坚定拥护中国共产党领导，在习近平新时代中国特色社会主义思想指引下，践行社会主义核心价值观，具有深厚的爱国情感和中华民族自豪感。</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崇尚宪法、遵法守纪、崇德向善、诚实守信、尊重生命、热爱劳动，履行道德准则和行为规范，具有社会责任感和社会参与意识。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具有质量意识、环保意识、安全意识、信息素养、工匠精神、创新思维。</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lang w:val="en-US" w:eastAsia="zh-CN"/>
        </w:rPr>
        <w:t>4.</w:t>
      </w:r>
      <w:r>
        <w:rPr>
          <w:rFonts w:hint="eastAsia" w:ascii="仿宋" w:hAnsi="仿宋" w:eastAsia="仿宋" w:cs="仿宋"/>
        </w:rPr>
        <w:t>具有自我管理能力、职业生涯规划的意识，有较强的集体意识和团队合作精神。</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lang w:val="en-US" w:eastAsia="zh-CN"/>
        </w:rPr>
        <w:t>5.</w:t>
      </w:r>
      <w:r>
        <w:rPr>
          <w:rFonts w:hint="eastAsia" w:ascii="仿宋" w:hAnsi="仿宋" w:eastAsia="仿宋" w:cs="仿宋"/>
        </w:rPr>
        <w:t>具有健康的体魄、心理和健全的人格，掌握基本运动知识和一两项运动技能，养成良好的健身与卫生习惯，良好的行为习惯。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具有一定的审美和人文素养，能够形成一两项艺术特长或爱好。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lang w:val="en-US" w:eastAsia="zh-CN"/>
        </w:rPr>
        <w:t>7.</w:t>
      </w:r>
      <w:r>
        <w:rPr>
          <w:rFonts w:hint="eastAsia" w:ascii="仿宋" w:hAnsi="仿宋" w:eastAsia="仿宋" w:cs="仿宋"/>
        </w:rPr>
        <w:t>具有健全的心理，具备稳定向上的情感力量，坚强恒久的意志力量，鲜明独特的人格力量。</w:t>
      </w:r>
    </w:p>
    <w:p>
      <w:pPr>
        <w:pStyle w:val="3"/>
        <w:ind w:left="0" w:leftChars="0" w:firstLine="600" w:firstLineChars="200"/>
      </w:pPr>
      <w:r>
        <w:rPr>
          <w:rFonts w:hint="eastAsia"/>
        </w:rPr>
        <w:t>六、课程设置及要求</w:t>
      </w:r>
    </w:p>
    <w:p>
      <w:pPr>
        <w:spacing w:line="560" w:lineRule="exact"/>
        <w:ind w:firstLine="600" w:firstLineChars="200"/>
        <w:rPr>
          <w:rFonts w:hint="eastAsia" w:ascii="仿宋" w:hAnsi="仿宋" w:eastAsia="仿宋" w:cs="仿宋"/>
        </w:rPr>
      </w:pPr>
      <w:r>
        <w:rPr>
          <w:rFonts w:hint="eastAsia" w:ascii="仿宋" w:hAnsi="仿宋" w:eastAsia="仿宋" w:cs="仿宋"/>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w:t>
      </w:r>
      <w:r>
        <w:rPr>
          <w:rFonts w:hint="eastAsia" w:ascii="仿宋" w:hAnsi="仿宋" w:eastAsia="仿宋" w:cs="仿宋"/>
          <w:sz w:val="30"/>
          <w:szCs w:val="30"/>
          <w:lang w:eastAsia="zh-CN"/>
        </w:rPr>
        <w:t>中国特色社会主义</w:t>
      </w:r>
      <w:r>
        <w:rPr>
          <w:rFonts w:hint="eastAsia" w:ascii="仿宋" w:hAnsi="仿宋" w:eastAsia="仿宋" w:cs="仿宋"/>
          <w:sz w:val="30"/>
          <w:szCs w:val="30"/>
        </w:rPr>
        <w:t>、心理健康与职业生涯、哲学与人生、</w:t>
      </w:r>
      <w:r>
        <w:rPr>
          <w:rFonts w:hint="eastAsia" w:ascii="仿宋" w:hAnsi="仿宋" w:eastAsia="仿宋" w:cs="仿宋"/>
          <w:sz w:val="30"/>
          <w:szCs w:val="30"/>
          <w:lang w:eastAsia="zh-CN"/>
        </w:rPr>
        <w:t>职业道德与法治</w:t>
      </w:r>
      <w:r>
        <w:rPr>
          <w:rFonts w:hint="eastAsia" w:ascii="仿宋" w:hAnsi="仿宋" w:eastAsia="仿宋" w:cs="仿宋"/>
          <w:sz w:val="30"/>
          <w:szCs w:val="30"/>
        </w:rPr>
        <w:t>、语文、数学、英语、体育与健康、历史、信息技术。</w:t>
      </w:r>
    </w:p>
    <w:p>
      <w:pPr>
        <w:spacing w:line="560" w:lineRule="exact"/>
        <w:ind w:firstLine="600" w:firstLineChars="200"/>
        <w:rPr>
          <w:rFonts w:ascii="仿宋" w:hAnsi="仿宋" w:eastAsia="仿宋" w:cs="仿宋"/>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pStyle w:val="4"/>
        <w:ind w:firstLine="600"/>
      </w:pPr>
      <w:r>
        <w:rPr>
          <w:rFonts w:hint="eastAsia"/>
        </w:rPr>
        <w:t>（一）公共基础课程及要求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1.国防教育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教学目标：国防教育是为捍卫国家主权、领土完整和安全，防御外来侵略、颠覆和威胁，向全民传授与国防有关的思想、知识、技能的社会活动。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教学内容：国防教育的内涵、开展国防教育对中职生的意义、中职学校展国防教育的措施。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2.劳动教育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w:t>
      </w:r>
    </w:p>
    <w:p>
      <w:pPr>
        <w:topLinePunct/>
        <w:adjustRightInd w:val="0"/>
        <w:snapToGrid w:val="0"/>
        <w:spacing w:line="560" w:lineRule="exact"/>
        <w:ind w:firstLine="600" w:firstLineChars="200"/>
        <w:rPr>
          <w:rFonts w:ascii="仿宋" w:hAnsi="仿宋" w:eastAsia="仿宋" w:cs="仿宋"/>
        </w:rPr>
      </w:pPr>
      <w:bookmarkStart w:id="0" w:name="_Toc19561"/>
      <w:r>
        <w:rPr>
          <w:rFonts w:hint="eastAsia" w:ascii="仿宋" w:hAnsi="仿宋" w:eastAsia="仿宋" w:cs="仿宋"/>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w:t>
      </w:r>
      <w:bookmarkEnd w:id="0"/>
      <w:r>
        <w:rPr>
          <w:rFonts w:hint="eastAsia" w:ascii="仿宋" w:hAnsi="仿宋" w:eastAsia="仿宋" w:cs="仿宋"/>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w:t>
      </w:r>
      <w:bookmarkEnd w:id="1"/>
      <w:r>
        <w:rPr>
          <w:rFonts w:hint="eastAsia" w:ascii="仿宋" w:hAnsi="仿宋" w:eastAsia="仿宋" w:cs="仿宋"/>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7.语文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8.数学</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主要内容：集合、不等式、函数、数列、平面向量、直线和圆的方程、立体几何、概率与统计初步等基础知识。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9.英语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主要内容：简单的日常交际用语、简单的话题、常用语法、语句和常用词汇。</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教学要求：鼓励学生自主探究和合作交流；尊重学生的个体差异，满足多样化的学习需要；关注学生英语思维能力的发展；注重英语知识之间的联系，重视教学思想方法的联系与运用；充分运用现代信息技术。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10.体育与健康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主要内容：学习基本的体育运动技能、掌握几种简单科学的的锻炼方式、基本的保健知识和技能。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教学要求：通过体育课程，培养具有健康第一的意识，德、智、体、美全面发展的合格人才。增强学生体质健康水平，激发学生参与体育活动的兴趣，培养他们终身参与体育锻炼的意识和习惯。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11.历史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教学目标：了解历史的时序，初步掌握解释历史问题的方法，从历史的角度认识中国的具体国情，认同中华民族的优秀文化传统，尊重和热爱祖国的历史和文化。</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教学内容：中国古代史、中国近现代史、世界历史。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教学要求：通过学习，使学生能比较全面地了解历代史家的史学思想、方法，具备运用辨证史观分析问题和解决问题的基本能力。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12.信息技术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ascii="仿宋" w:hAnsi="仿宋" w:eastAsia="仿宋" w:cs="仿宋"/>
        </w:rPr>
      </w:pPr>
      <w:r>
        <w:rPr>
          <w:rFonts w:hint="eastAsia" w:ascii="仿宋" w:hAnsi="仿宋" w:eastAsia="仿宋" w:cs="仿宋"/>
        </w:rPr>
        <w:t>1</w:t>
      </w:r>
      <w:r>
        <w:rPr>
          <w:rFonts w:ascii="仿宋" w:hAnsi="仿宋" w:eastAsia="仿宋" w:cs="仿宋"/>
        </w:rPr>
        <w:t>3</w:t>
      </w:r>
      <w:r>
        <w:rPr>
          <w:rFonts w:hint="eastAsia" w:ascii="仿宋" w:hAnsi="仿宋" w:eastAsia="仿宋" w:cs="仿宋"/>
        </w:rPr>
        <w:t xml:space="preserve">.艺术 </w:t>
      </w:r>
    </w:p>
    <w:p>
      <w:pPr>
        <w:spacing w:line="560" w:lineRule="exact"/>
        <w:ind w:firstLine="600" w:firstLineChars="200"/>
        <w:rPr>
          <w:rFonts w:ascii="仿宋" w:hAnsi="仿宋" w:eastAsia="仿宋" w:cs="仿宋"/>
        </w:rPr>
      </w:pPr>
      <w:r>
        <w:rPr>
          <w:rFonts w:hint="eastAsia" w:ascii="仿宋" w:hAnsi="仿宋" w:eastAsia="仿宋" w:cs="仿宋"/>
        </w:rPr>
        <w:t>课程目标：在艺术学科的学习中，学生观察自然、了解社会、感悟人生，探究、体验、领会艺术的魅力，积极、主动参与艺术活动，用有组织、有意义的音乐语言表达思想，用视觉媒介和技术创造形象，用舞蹈语言抒发清感，通过扮演戏剧角色品味丰富的人生，运用现代媒介和数字媒体技术再现与表现世界，在艺术的世界中求真、崇善、尚美。</w:t>
      </w:r>
      <w:r>
        <w:rPr>
          <w:rFonts w:ascii="仿宋" w:hAnsi="仿宋" w:eastAsia="仿宋" w:cs="仿宋"/>
        </w:rPr>
        <w:t xml:space="preserve"> </w:t>
      </w:r>
    </w:p>
    <w:p>
      <w:pPr>
        <w:spacing w:line="560" w:lineRule="exact"/>
        <w:ind w:firstLine="600" w:firstLineChars="200"/>
        <w:rPr>
          <w:rFonts w:ascii="仿宋" w:hAnsi="仿宋" w:eastAsia="仿宋" w:cs="仿宋"/>
        </w:rPr>
      </w:pPr>
      <w:r>
        <w:rPr>
          <w:rFonts w:hint="eastAsia" w:ascii="仿宋" w:hAnsi="仿宋" w:eastAsia="仿宋" w:cs="仿宋"/>
        </w:rPr>
        <w:t>主要内容：运用感知、经验和知识对艺术作品进行观察、体验、联想、鉴别和评价。</w:t>
      </w:r>
    </w:p>
    <w:p>
      <w:pPr>
        <w:pStyle w:val="2"/>
        <w:spacing w:line="560" w:lineRule="exact"/>
        <w:ind w:firstLine="600" w:firstLineChars="200"/>
      </w:pPr>
      <w:r>
        <w:rPr>
          <w:rFonts w:hint="eastAsia" w:ascii="仿宋" w:hAnsi="仿宋" w:eastAsia="仿宋" w:cs="仿宋"/>
          <w:snapToGrid w:val="0"/>
          <w:sz w:val="30"/>
          <w:szCs w:val="30"/>
        </w:rPr>
        <w:t>教学要求：在教学过程中，打破学生对艺术的陌生感，引导学生围绕主题展开想象；将即兴动机巧妙融入课堂，引导学生体会特定的情境；以丰富的情境语言逐步引导学生发挥想象力、模仿力和创造力，为学生情感活动与认知活动的结合开拓有效途径。</w:t>
      </w:r>
    </w:p>
    <w:p>
      <w:pPr>
        <w:spacing w:line="480" w:lineRule="exact"/>
        <w:ind w:firstLine="562" w:firstLineChars="200"/>
        <w:jc w:val="center"/>
        <w:rPr>
          <w:rFonts w:hint="eastAsia"/>
          <w:b/>
          <w:sz w:val="28"/>
          <w:szCs w:val="28"/>
        </w:rPr>
      </w:pPr>
    </w:p>
    <w:p>
      <w:pPr>
        <w:spacing w:line="480" w:lineRule="exact"/>
        <w:ind w:firstLine="562"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8"/>
        <w:tblW w:w="90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03"/>
        <w:gridCol w:w="5085"/>
        <w:gridCol w:w="9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203"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5085"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902"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2203" w:type="dxa"/>
            <w:vAlign w:val="center"/>
          </w:tcPr>
          <w:p>
            <w:pPr>
              <w:pStyle w:val="15"/>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国防教育</w:t>
            </w:r>
          </w:p>
        </w:tc>
        <w:tc>
          <w:tcPr>
            <w:tcW w:w="5085" w:type="dxa"/>
            <w:vAlign w:val="center"/>
          </w:tcPr>
          <w:p>
            <w:pPr>
              <w:pStyle w:val="15"/>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依据《中华人民共和国国防教育法》开设，并与专业实际和行业发展密切结合。</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2</w:t>
            </w:r>
          </w:p>
        </w:tc>
        <w:tc>
          <w:tcPr>
            <w:tcW w:w="2203" w:type="dxa"/>
            <w:vAlign w:val="center"/>
          </w:tcPr>
          <w:p>
            <w:pPr>
              <w:pStyle w:val="15"/>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劳动教育</w:t>
            </w:r>
          </w:p>
        </w:tc>
        <w:tc>
          <w:tcPr>
            <w:tcW w:w="5085" w:type="dxa"/>
            <w:vAlign w:val="center"/>
          </w:tcPr>
          <w:p>
            <w:pPr>
              <w:pStyle w:val="15"/>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依据《关于全面加强新时代大中小学劳动教育的意见》开设，并与专业实际和行业发展密切结合。</w:t>
            </w:r>
          </w:p>
        </w:tc>
        <w:tc>
          <w:tcPr>
            <w:tcW w:w="902" w:type="dxa"/>
            <w:vAlign w:val="center"/>
          </w:tcPr>
          <w:p>
            <w:pPr>
              <w:pStyle w:val="15"/>
              <w:topLinePunct/>
              <w:adjustRightInd w:val="0"/>
              <w:snapToGrid w:val="0"/>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eastAsia="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3</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中国特色社会主义</w:t>
            </w:r>
          </w:p>
        </w:tc>
        <w:tc>
          <w:tcPr>
            <w:tcW w:w="5085" w:type="dxa"/>
            <w:vAlign w:val="center"/>
          </w:tcPr>
          <w:p>
            <w:pPr>
              <w:pStyle w:val="15"/>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心理健康与职业生涯</w:t>
            </w:r>
          </w:p>
        </w:tc>
        <w:tc>
          <w:tcPr>
            <w:tcW w:w="5085" w:type="dxa"/>
            <w:vAlign w:val="center"/>
          </w:tcPr>
          <w:p>
            <w:pPr>
              <w:pStyle w:val="15"/>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5</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哲学与人生</w:t>
            </w:r>
          </w:p>
        </w:tc>
        <w:tc>
          <w:tcPr>
            <w:tcW w:w="5085" w:type="dxa"/>
            <w:vAlign w:val="center"/>
          </w:tcPr>
          <w:p>
            <w:pPr>
              <w:spacing w:line="240" w:lineRule="auto"/>
              <w:ind w:left="0" w:leftChars="0" w:firstLine="0" w:firstLineChars="0"/>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6</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职业道德与法治</w:t>
            </w:r>
          </w:p>
        </w:tc>
        <w:tc>
          <w:tcPr>
            <w:tcW w:w="5085" w:type="dxa"/>
            <w:vAlign w:val="center"/>
          </w:tcPr>
          <w:p>
            <w:pPr>
              <w:spacing w:line="240" w:lineRule="auto"/>
              <w:ind w:left="0" w:leftChars="0" w:firstLine="0" w:firstLineChars="0"/>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7</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语文</w:t>
            </w:r>
          </w:p>
        </w:tc>
        <w:tc>
          <w:tcPr>
            <w:tcW w:w="5085" w:type="dxa"/>
            <w:vAlign w:val="center"/>
          </w:tcPr>
          <w:p>
            <w:pPr>
              <w:pStyle w:val="15"/>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数学</w:t>
            </w:r>
          </w:p>
        </w:tc>
        <w:tc>
          <w:tcPr>
            <w:tcW w:w="5085" w:type="dxa"/>
            <w:vAlign w:val="center"/>
          </w:tcPr>
          <w:p>
            <w:pPr>
              <w:pStyle w:val="15"/>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9</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英语</w:t>
            </w:r>
          </w:p>
        </w:tc>
        <w:tc>
          <w:tcPr>
            <w:tcW w:w="5085" w:type="dxa"/>
            <w:vAlign w:val="center"/>
          </w:tcPr>
          <w:p>
            <w:pPr>
              <w:pStyle w:val="15"/>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英语</w:t>
            </w:r>
            <w:r>
              <w:rPr>
                <w:rFonts w:hint="eastAsia" w:cs="宋体" w:asciiTheme="majorEastAsia" w:hAnsiTheme="majorEastAsia" w:eastAsiaTheme="majorEastAsia"/>
                <w:sz w:val="21"/>
                <w:szCs w:val="21"/>
              </w:rPr>
              <w:t>课程标准》开设，并与专业实际和行业发展密切结合。</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10</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体育与健康</w:t>
            </w:r>
          </w:p>
        </w:tc>
        <w:tc>
          <w:tcPr>
            <w:tcW w:w="5085" w:type="dxa"/>
            <w:vAlign w:val="center"/>
          </w:tcPr>
          <w:p>
            <w:pPr>
              <w:pStyle w:val="15"/>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依据《中等职业学校体育与健康课程标准》开设，并与专业实际和行业发展密切结合。</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11</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历史</w:t>
            </w:r>
          </w:p>
        </w:tc>
        <w:tc>
          <w:tcPr>
            <w:tcW w:w="5085" w:type="dxa"/>
            <w:vAlign w:val="center"/>
          </w:tcPr>
          <w:p>
            <w:pPr>
              <w:pStyle w:val="15"/>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信息技术</w:t>
            </w:r>
          </w:p>
        </w:tc>
        <w:tc>
          <w:tcPr>
            <w:tcW w:w="5085" w:type="dxa"/>
            <w:vAlign w:val="center"/>
          </w:tcPr>
          <w:p>
            <w:pPr>
              <w:pStyle w:val="15"/>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信息技术</w:t>
            </w:r>
            <w:r>
              <w:rPr>
                <w:rFonts w:hint="eastAsia" w:cs="宋体" w:asciiTheme="majorEastAsia" w:hAnsiTheme="majorEastAsia" w:eastAsiaTheme="majorEastAsia"/>
                <w:sz w:val="21"/>
                <w:szCs w:val="21"/>
              </w:rPr>
              <w:t>课程标准》开设，并与专业实际和行业发展密切结合。</w:t>
            </w:r>
          </w:p>
        </w:tc>
        <w:tc>
          <w:tcPr>
            <w:tcW w:w="902" w:type="dxa"/>
            <w:vAlign w:val="center"/>
          </w:tcPr>
          <w:p>
            <w:pPr>
              <w:pStyle w:val="15"/>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7"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p>
        </w:tc>
        <w:tc>
          <w:tcPr>
            <w:tcW w:w="2203"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艺术</w:t>
            </w:r>
          </w:p>
        </w:tc>
        <w:tc>
          <w:tcPr>
            <w:tcW w:w="5085" w:type="dxa"/>
            <w:vAlign w:val="center"/>
          </w:tcPr>
          <w:p>
            <w:pPr>
              <w:pStyle w:val="15"/>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公共艺术</w:t>
            </w:r>
            <w:r>
              <w:rPr>
                <w:rFonts w:hint="eastAsia" w:cs="宋体" w:asciiTheme="majorEastAsia" w:hAnsiTheme="majorEastAsia" w:eastAsiaTheme="majorEastAsia"/>
                <w:sz w:val="21"/>
                <w:szCs w:val="21"/>
              </w:rPr>
              <w:t>课程标准》开设，并与专业实际和行业发展密切结合。</w:t>
            </w:r>
          </w:p>
        </w:tc>
        <w:tc>
          <w:tcPr>
            <w:tcW w:w="902" w:type="dxa"/>
            <w:vAlign w:val="center"/>
          </w:tcPr>
          <w:p>
            <w:pPr>
              <w:pStyle w:val="15"/>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40</w:t>
            </w:r>
          </w:p>
        </w:tc>
      </w:tr>
    </w:tbl>
    <w:p>
      <w:pPr>
        <w:pStyle w:val="4"/>
        <w:numPr>
          <w:ilvl w:val="0"/>
          <w:numId w:val="0"/>
        </w:numPr>
      </w:pPr>
      <w:r>
        <w:rPr>
          <w:rFonts w:hint="eastAsia"/>
          <w:lang w:eastAsia="zh-CN"/>
        </w:rPr>
        <w:t>（二）</w:t>
      </w:r>
      <w:r>
        <w:rPr>
          <w:rFonts w:hint="eastAsia"/>
        </w:rPr>
        <w:t>专业技能课及要求</w:t>
      </w:r>
    </w:p>
    <w:tbl>
      <w:tblPr>
        <w:tblStyle w:val="8"/>
        <w:tblpPr w:leftFromText="180" w:rightFromText="180" w:vertAnchor="text" w:horzAnchor="page" w:tblpX="1540" w:tblpY="553"/>
        <w:tblOverlap w:val="never"/>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490"/>
        <w:gridCol w:w="5145"/>
        <w:gridCol w:w="8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490"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5145"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871"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2490" w:type="dxa"/>
            <w:vAlign w:val="center"/>
          </w:tcPr>
          <w:p>
            <w:pPr>
              <w:pStyle w:val="15"/>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电工电子技术与技能</w:t>
            </w:r>
          </w:p>
        </w:tc>
        <w:tc>
          <w:tcPr>
            <w:tcW w:w="5145" w:type="dxa"/>
            <w:vAlign w:val="center"/>
          </w:tcPr>
          <w:p>
            <w:pPr>
              <w:pStyle w:val="15"/>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具备分析和解决生产生活中一般电工电子问题的能力,具备学习后续专业技能课程的能力,对学生进行职业意识培养和职业道德教育,增强学生适应职业变化的能力,了解电子电工类专业所必需的电工基本知识、基本技能、基本能力和基本态度，形成解决实际问题的能力，提高学生的全面素质，增强适应职业变化的能力，为学习后续课程及今后工作打下必要的基础。</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2</w:t>
            </w:r>
          </w:p>
        </w:tc>
        <w:tc>
          <w:tcPr>
            <w:tcW w:w="2490" w:type="dxa"/>
            <w:vAlign w:val="center"/>
          </w:tcPr>
          <w:p>
            <w:pPr>
              <w:pStyle w:val="15"/>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电气系统安装与调试</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会正确使用常用电工工具实施典型电气控制电路的接线；能根据电机控制原理图（接线图）正确安装、接线电气元件，并能使用电子仪器对安装线路进行检查；能对连接和调试过程中出现的问题进行分析和解决；掌握交直流电机的结构及交直流电机的启动、调速、制动等方面的理论知识等</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3</w:t>
            </w:r>
          </w:p>
        </w:tc>
        <w:tc>
          <w:tcPr>
            <w:tcW w:w="2490"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单片机应用技术基础</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知道单片机的组成、内部结构及引脚功能；懂得C语言程序基本结构、数据类型和基本语句；会运用仿真软件，在计算机上完成从单片机电路设计、调试与仿真运行的技能；能编制出智能电子产品、智能控制的总体设计方案；</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w:t>
            </w:r>
          </w:p>
        </w:tc>
        <w:tc>
          <w:tcPr>
            <w:tcW w:w="2490"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工业机器人编程与操作</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机器人控制系统的构成、编程语言与编程特点。掌握工业机器人手部、腕部和臂部的基本构造、基本运动和设计方法；掌握工业机器人的测控方法；掌握工业机器人的结构特点、测控原理和总体设计方法；能进行简单机器人的位姿分析和运动分析； </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5</w:t>
            </w:r>
          </w:p>
        </w:tc>
        <w:tc>
          <w:tcPr>
            <w:tcW w:w="2490"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工业机器人技术基础（初级）</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主要是引导学生通过对工业机器人本体的认知，掌握工业机器人运动系统设计方法，具有进行总体设计的能力；掌握工业机器人整体性能、主要部件性能的分析方法；掌握工业机器人常用的控制理论与方法，具有进行工业机器人控制系统设计的能力；了解工业机器人的新理论，新方法及发展趋向。掌握工业机器人的一般知识和基本技能，培养学生专业能力及职业能力，为他们走上工业机器人生产第一线的工作岗位做好准备。</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6</w:t>
            </w:r>
          </w:p>
        </w:tc>
        <w:tc>
          <w:tcPr>
            <w:tcW w:w="2490"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工业机器人安装与调试</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掌握编写适用于不同工作任务的工业机器人调试程序；掌握处理工业机器人的故障，并做相应的检查维修工作记录；能够详细记录工业机器人安装与调试过程中的工作日记、总结工作经验。能够正确阅读工业机器人部件装配图、零件图和技术文件，进行机械部件配备。能够正确阅读工业机器人的电气原理图、电气安装图，完成电气装配。 掌握机器人的模块化组装、调试、控制与维护方法</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7</w:t>
            </w:r>
          </w:p>
        </w:tc>
        <w:tc>
          <w:tcPr>
            <w:tcW w:w="2490"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工业机器人维护与维修</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能读懂机器人应用系统的结构安装图和电气原理图及设计思路；能根据自动化生产线的工作要求，编制、调整工业机器人控制程序；能维护、保养设备，能排除简单电气及机械故障；具有安全生产、文明生产及环境保护意识。 </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w:t>
            </w:r>
          </w:p>
        </w:tc>
        <w:tc>
          <w:tcPr>
            <w:tcW w:w="2490"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液压与气压传动</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了解液压与气压常见故障； 熟悉液压与气动的动力元件、执行元件、控制元件、辅助元件； 熟悉液压与气动的基本回路，能看懂液压传动系统工作原理图； 能根据原理图分析工作循环； 能够选用合适元件搭建与调试液压回路； 能看懂气压传动系统工作原理图；能根据原理图分析工作循环； </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9</w:t>
            </w:r>
          </w:p>
        </w:tc>
        <w:tc>
          <w:tcPr>
            <w:tcW w:w="2490"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电气控制技术常识</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了解变压器结构与工作原理； 了解典型机床电气控制电路； 熟悉常用电工工具、仪表的使用方法； 掌握电气安全常识；</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10</w:t>
            </w:r>
          </w:p>
        </w:tc>
        <w:tc>
          <w:tcPr>
            <w:tcW w:w="2490"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机械CAD</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了解AutoCAD技术的特点和运行环境，AutoCAD的安装、启动，用户界面和文件操作，三维绘图功能，简单的三维图形的绘制方法； 掌握二维绘图的常用命令和基本操作，了解图形空间和图纸空间的概念； </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11</w:t>
            </w:r>
          </w:p>
        </w:tc>
        <w:tc>
          <w:tcPr>
            <w:tcW w:w="2490"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机械基础</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了解机械制造相关国家标准； 掌握常用金属材料的特点、应用及热处理工艺； 常用机构的分类、组成、特点； 掌握常用机械传动的组成、特点及应用； 掌握常用机械连接的组成、特点；掌握轴、轴承、联轴器、离合器、制动器等机械零件的结构、特点、类型、代号；</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0"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w:t>
            </w:r>
          </w:p>
        </w:tc>
        <w:tc>
          <w:tcPr>
            <w:tcW w:w="2490"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机械识图与制图</w:t>
            </w:r>
          </w:p>
        </w:tc>
        <w:tc>
          <w:tcPr>
            <w:tcW w:w="514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熟悉制图的基本规定和技能； 掌握平面图形绘制的方法与步骤，掌握零件图常用表达与规定画法；具备识读与绘制机械零件图的能力； 制图的基本知识和技能；机械图样的表达与画法； </w:t>
            </w:r>
          </w:p>
        </w:tc>
        <w:tc>
          <w:tcPr>
            <w:tcW w:w="87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120</w:t>
            </w:r>
          </w:p>
        </w:tc>
      </w:tr>
    </w:tbl>
    <w:p>
      <w:pPr>
        <w:pStyle w:val="3"/>
        <w:ind w:left="0" w:leftChars="0" w:firstLine="600" w:firstLineChars="200"/>
      </w:pPr>
      <w:r>
        <w:rPr>
          <w:rFonts w:hint="eastAsia"/>
        </w:rPr>
        <w:t>七、教学进程总体安排</w:t>
      </w:r>
    </w:p>
    <w:p>
      <w:pPr>
        <w:spacing w:line="480" w:lineRule="exact"/>
        <w:ind w:firstLine="600" w:firstLineChars="200"/>
        <w:rPr>
          <w:rFonts w:ascii="楷体" w:hAnsi="楷体" w:eastAsia="楷体" w:cs="楷体"/>
        </w:rPr>
      </w:pPr>
      <w:r>
        <w:rPr>
          <w:rFonts w:hint="eastAsia" w:ascii="楷体" w:hAnsi="楷体" w:eastAsia="楷体" w:cs="楷体"/>
        </w:rPr>
        <w:t>1.基本要求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每学年为52周，其中教学时间40周（含复习考试），累计假期12周。周学时一般为28学时。顶岗实习按每周30小时（1小时折合1学时）安排。</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公共基础课学时约占总学时的1/3。</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专业技能课学时约占总学时的2/3，在确保学生实习总量的前提下，根据实际需要集中或分阶段安排实习时间。</w:t>
      </w:r>
    </w:p>
    <w:p>
      <w:pPr>
        <w:numPr>
          <w:ilvl w:val="0"/>
          <w:numId w:val="0"/>
        </w:numPr>
        <w:spacing w:line="480" w:lineRule="exact"/>
        <w:ind w:firstLine="600" w:firstLineChars="200"/>
        <w:rPr>
          <w:rFonts w:ascii="楷体" w:hAnsi="楷体" w:eastAsia="楷体" w:cs="楷体"/>
        </w:rPr>
      </w:pPr>
      <w:r>
        <w:rPr>
          <w:rFonts w:hint="eastAsia" w:ascii="楷体" w:hAnsi="楷体" w:eastAsia="楷体" w:cs="楷体"/>
          <w:lang w:val="en-US" w:eastAsia="zh-CN"/>
        </w:rPr>
        <w:t>2.</w:t>
      </w:r>
      <w:r>
        <w:rPr>
          <w:rFonts w:hint="eastAsia" w:ascii="楷体" w:hAnsi="楷体" w:eastAsia="楷体" w:cs="楷体"/>
        </w:rPr>
        <w:t>教学进度计划安排表</w:t>
      </w:r>
    </w:p>
    <w:p>
      <w:pPr>
        <w:pStyle w:val="2"/>
        <w:rPr>
          <w:rFonts w:hint="eastAsia" w:eastAsia="宋体"/>
          <w:lang w:val="en-US" w:eastAsia="zh-CN"/>
        </w:rPr>
      </w:pPr>
      <w:r>
        <w:rPr>
          <w:rFonts w:hint="eastAsia" w:eastAsia="宋体"/>
          <w:lang w:val="en-US" w:eastAsia="zh-CN"/>
        </w:rPr>
        <w:drawing>
          <wp:anchor distT="0" distB="0" distL="114300" distR="114300" simplePos="0" relativeHeight="251659264" behindDoc="1" locked="0" layoutInCell="1" allowOverlap="1">
            <wp:simplePos x="0" y="0"/>
            <wp:positionH relativeFrom="column">
              <wp:posOffset>-427990</wp:posOffset>
            </wp:positionH>
            <wp:positionV relativeFrom="paragraph">
              <wp:posOffset>220980</wp:posOffset>
            </wp:positionV>
            <wp:extent cx="5869305" cy="6837045"/>
            <wp:effectExtent l="0" t="0" r="17145" b="0"/>
            <wp:wrapTight wrapText="bothSides">
              <wp:wrapPolygon>
                <wp:start x="0" y="0"/>
                <wp:lineTo x="0" y="21546"/>
                <wp:lineTo x="21523" y="21546"/>
                <wp:lineTo x="21523" y="0"/>
                <wp:lineTo x="0" y="0"/>
              </wp:wrapPolygon>
            </wp:wrapTight>
            <wp:docPr id="4" name="图片 4" descr="169278167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2781672779"/>
                    <pic:cNvPicPr>
                      <a:picLocks noChangeAspect="1"/>
                    </pic:cNvPicPr>
                  </pic:nvPicPr>
                  <pic:blipFill>
                    <a:blip r:embed="rId9"/>
                    <a:stretch>
                      <a:fillRect/>
                    </a:stretch>
                  </pic:blipFill>
                  <pic:spPr>
                    <a:xfrm>
                      <a:off x="0" y="0"/>
                      <a:ext cx="5869305" cy="6837045"/>
                    </a:xfrm>
                    <a:prstGeom prst="rect">
                      <a:avLst/>
                    </a:prstGeom>
                  </pic:spPr>
                </pic:pic>
              </a:graphicData>
            </a:graphic>
          </wp:anchor>
        </w:drawing>
      </w:r>
    </w:p>
    <w:p>
      <w:pPr>
        <w:pStyle w:val="3"/>
        <w:ind w:left="0" w:leftChars="0" w:firstLine="600" w:firstLineChars="200"/>
      </w:pPr>
      <w:r>
        <w:rPr>
          <w:rFonts w:hint="eastAsia"/>
        </w:rPr>
        <w:t>八、实施保障</w:t>
      </w:r>
    </w:p>
    <w:p>
      <w:pPr>
        <w:overflowPunct w:val="0"/>
        <w:spacing w:line="560" w:lineRule="exact"/>
        <w:ind w:firstLine="600" w:firstLineChars="200"/>
        <w:rPr>
          <w:rFonts w:hint="eastAsia" w:ascii="楷体" w:hAnsi="楷体" w:eastAsia="楷体" w:cs="楷体"/>
        </w:rPr>
      </w:pPr>
      <w:r>
        <w:rPr>
          <w:rFonts w:hint="eastAsia" w:ascii="楷体" w:hAnsi="楷体" w:eastAsia="楷体" w:cs="楷体"/>
        </w:rPr>
        <w:t>（一）师资队伍</w:t>
      </w:r>
    </w:p>
    <w:p>
      <w:pPr>
        <w:overflowPunct w:val="0"/>
        <w:spacing w:line="560" w:lineRule="exact"/>
        <w:ind w:firstLine="600" w:firstLineChars="200"/>
        <w:rPr>
          <w:rFonts w:ascii="仿宋" w:hAnsi="仿宋" w:eastAsia="仿宋" w:cs="仿宋"/>
        </w:rPr>
      </w:pPr>
      <w:r>
        <w:rPr>
          <w:rFonts w:hint="eastAsia" w:ascii="仿宋" w:hAnsi="仿宋" w:eastAsia="仿宋" w:cs="仿宋"/>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80%。建立“双师型”专业教师团队，有业务水平较高的专业带头人。教师的基本要求是：</w:t>
      </w:r>
    </w:p>
    <w:p>
      <w:pPr>
        <w:overflowPunct w:val="0"/>
        <w:spacing w:line="560" w:lineRule="exact"/>
        <w:ind w:firstLine="600" w:firstLineChars="200"/>
        <w:rPr>
          <w:rFonts w:ascii="仿宋" w:hAnsi="仿宋" w:eastAsia="仿宋" w:cs="仿宋"/>
        </w:rPr>
      </w:pPr>
      <w:r>
        <w:rPr>
          <w:rFonts w:hint="eastAsia" w:ascii="仿宋" w:hAnsi="仿宋" w:eastAsia="仿宋" w:cs="仿宋"/>
        </w:rPr>
        <w:t xml:space="preserve">1.专业教师应具备良好的师德和终身学习能力，具备本专业或相近专业本科以上学历（含本科），或具有本专业中级以上技术资格证书。 </w:t>
      </w:r>
    </w:p>
    <w:p>
      <w:pPr>
        <w:overflowPunct w:val="0"/>
        <w:spacing w:line="560" w:lineRule="exact"/>
        <w:ind w:firstLine="600" w:firstLineChars="200"/>
        <w:rPr>
          <w:rFonts w:ascii="仿宋" w:hAnsi="仿宋" w:eastAsia="仿宋" w:cs="仿宋"/>
        </w:rPr>
      </w:pPr>
      <w:r>
        <w:rPr>
          <w:rFonts w:hint="eastAsia" w:ascii="仿宋" w:hAnsi="仿宋" w:eastAsia="仿宋" w:cs="仿宋"/>
        </w:rPr>
        <w:t>2.专业带头人应具有较高的业务能力，并在区域内具有一定影响力；具有高级职称和高级职业资格，熟悉产业发展和行业对技能型人才的需求，在专业改革和发展中起引领作用。</w:t>
      </w:r>
    </w:p>
    <w:p>
      <w:pPr>
        <w:overflowPunct w:val="0"/>
        <w:spacing w:line="560" w:lineRule="exact"/>
        <w:ind w:firstLine="600" w:firstLineChars="200"/>
        <w:rPr>
          <w:rFonts w:ascii="仿宋" w:hAnsi="仿宋" w:eastAsia="仿宋" w:cs="仿宋"/>
        </w:rPr>
      </w:pPr>
      <w:r>
        <w:rPr>
          <w:rFonts w:hint="eastAsia" w:ascii="仿宋" w:hAnsi="仿宋" w:eastAsia="仿宋" w:cs="仿宋"/>
        </w:rPr>
        <w:t>3.以每年招收2个班为基数，本专业的教师人数应不少于7人，其中专职教师应不少于5人，教师数与学生数之比应大于1:20，专职教师中具有中级以上职称教师人数不低于40%，高级职称人数不低于15%。</w:t>
      </w:r>
    </w:p>
    <w:p>
      <w:pPr>
        <w:overflowPunct w:val="0"/>
        <w:spacing w:line="560" w:lineRule="exact"/>
        <w:ind w:firstLine="600" w:firstLineChars="200"/>
        <w:rPr>
          <w:rFonts w:ascii="仿宋" w:hAnsi="仿宋" w:eastAsia="仿宋" w:cs="仿宋"/>
        </w:rPr>
      </w:pPr>
      <w:r>
        <w:rPr>
          <w:rFonts w:hint="eastAsia" w:ascii="仿宋" w:hAnsi="仿宋" w:eastAsia="仿宋" w:cs="仿宋"/>
        </w:rPr>
        <w:t>4.根据专业教学需要，聘请一定数量、相对稳定的兼职教师。兼职教师应具有本科以上文化程度和中级以上职称，并从事与本专业相关的实践工作5年以上。</w:t>
      </w:r>
    </w:p>
    <w:p>
      <w:pPr>
        <w:overflowPunct w:val="0"/>
        <w:spacing w:line="560" w:lineRule="exact"/>
        <w:ind w:left="600" w:leftChars="200" w:firstLine="0" w:firstLineChars="0"/>
        <w:rPr>
          <w:rFonts w:hint="eastAsia" w:ascii="仿宋" w:hAnsi="仿宋" w:eastAsia="仿宋" w:cs="仿宋"/>
        </w:rPr>
      </w:pPr>
      <w:r>
        <w:rPr>
          <w:rFonts w:hint="eastAsia" w:ascii="仿宋" w:hAnsi="仿宋" w:eastAsia="仿宋" w:cs="仿宋"/>
        </w:rPr>
        <w:t>5.每年至少有一定数量的专业教师进行相应的专业实</w:t>
      </w:r>
    </w:p>
    <w:p>
      <w:pPr>
        <w:overflowPunct w:val="0"/>
        <w:spacing w:line="560" w:lineRule="exact"/>
        <w:ind w:left="600" w:leftChars="200" w:firstLine="0" w:firstLineChars="0"/>
        <w:rPr>
          <w:rFonts w:hint="eastAsia" w:ascii="楷体" w:hAnsi="楷体" w:eastAsia="楷体" w:cs="楷体"/>
        </w:rPr>
      </w:pPr>
      <w:r>
        <w:rPr>
          <w:rFonts w:hint="eastAsia" w:ascii="楷体" w:hAnsi="楷体" w:eastAsia="楷体" w:cs="楷体"/>
        </w:rPr>
        <w:t>（二）教学设施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1.教室要求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rPr>
        <w:t>多媒体教室配置要求</w:t>
      </w:r>
    </w:p>
    <w:tbl>
      <w:tblPr>
        <w:tblStyle w:val="8"/>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100"/>
        <w:gridCol w:w="2400"/>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62"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210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项目</w:t>
            </w:r>
          </w:p>
        </w:tc>
        <w:tc>
          <w:tcPr>
            <w:tcW w:w="240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规格</w:t>
            </w:r>
          </w:p>
        </w:tc>
        <w:tc>
          <w:tcPr>
            <w:tcW w:w="387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参数、数量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台式电脑</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兼容机</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投影屏幕</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红叶</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3</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投影机</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爱普生</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4</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多媒体讲台</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2.5 米</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5</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音箱、功放</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 套</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6</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桌椅</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80 套</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连体式桌椅</w:t>
            </w:r>
          </w:p>
        </w:tc>
      </w:tr>
    </w:tbl>
    <w:p>
      <w:pPr>
        <w:numPr>
          <w:ilvl w:val="0"/>
          <w:numId w:val="0"/>
        </w:numPr>
        <w:overflowPunct w:val="0"/>
        <w:spacing w:line="560" w:lineRule="exact"/>
        <w:ind w:firstLine="300" w:firstLineChars="1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校内实训基地</w:t>
      </w:r>
    </w:p>
    <w:p>
      <w:pPr>
        <w:numPr>
          <w:ilvl w:val="0"/>
          <w:numId w:val="0"/>
        </w:numPr>
        <w:overflowPunct w:val="0"/>
        <w:spacing w:line="560" w:lineRule="exact"/>
        <w:ind w:firstLine="300" w:firstLineChars="100"/>
        <w:rPr>
          <w:rFonts w:ascii="仿宋" w:hAnsi="仿宋" w:eastAsia="仿宋" w:cs="仿宋"/>
        </w:rPr>
      </w:pPr>
      <w:r>
        <w:rPr>
          <w:rFonts w:hint="eastAsia" w:ascii="仿宋" w:hAnsi="仿宋" w:eastAsia="仿宋" w:cs="仿宋"/>
        </w:rPr>
        <w:t>根据本专业人才培养目标的要求及课程设置的需要，按每班40名学生为基准，校内部分实验（实训）室配置见下表：</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670"/>
        <w:gridCol w:w="4920"/>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序号</w:t>
            </w:r>
          </w:p>
        </w:tc>
        <w:tc>
          <w:tcPr>
            <w:tcW w:w="267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实训室名称</w:t>
            </w:r>
          </w:p>
        </w:tc>
        <w:tc>
          <w:tcPr>
            <w:tcW w:w="6029" w:type="dxa"/>
            <w:gridSpan w:val="2"/>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0" w:type="dxa"/>
            <w:vMerge w:val="continue"/>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p>
        </w:tc>
        <w:tc>
          <w:tcPr>
            <w:tcW w:w="2670" w:type="dxa"/>
            <w:vMerge w:val="continue"/>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p>
        </w:tc>
        <w:tc>
          <w:tcPr>
            <w:tcW w:w="4920" w:type="dxa"/>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名称</w:t>
            </w:r>
          </w:p>
        </w:tc>
        <w:tc>
          <w:tcPr>
            <w:tcW w:w="1109" w:type="dxa"/>
            <w:vAlign w:val="center"/>
          </w:tcPr>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数量</w:t>
            </w:r>
          </w:p>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w:t>
            </w:r>
          </w:p>
        </w:tc>
        <w:tc>
          <w:tcPr>
            <w:tcW w:w="267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电工技能实验（训）室</w:t>
            </w: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电工技术实训装置</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电工实习板</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常用电工工具</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线槽、线管</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测量仪表(万用表、单相电度表、功率表、兆欧表、钳形电流表等)</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各种照明电器</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各种低压电器</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三相异步电动机</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w:t>
            </w:r>
          </w:p>
        </w:tc>
        <w:tc>
          <w:tcPr>
            <w:tcW w:w="267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电子技能实验（训）室</w:t>
            </w: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电子技能实训装置</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低频信号发生器</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双踪示波器</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晶体管毫伏表</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频率计</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万用表(指针式、数字式各1只)</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元器件测试盒</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电子技能实训套件</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3</w:t>
            </w:r>
          </w:p>
        </w:tc>
        <w:tc>
          <w:tcPr>
            <w:tcW w:w="267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电子线路CAD实训室</w:t>
            </w: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计算机</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CAD软件</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w:t>
            </w:r>
          </w:p>
        </w:tc>
        <w:tc>
          <w:tcPr>
            <w:tcW w:w="2670" w:type="dxa"/>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液压与气压传动实训室</w:t>
            </w: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液压与气压传动实训装置</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8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5</w:t>
            </w:r>
          </w:p>
        </w:tc>
        <w:tc>
          <w:tcPr>
            <w:tcW w:w="267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单片机技术及应用实训室</w:t>
            </w: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单片机技术实训装置</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计算机</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8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6</w:t>
            </w:r>
          </w:p>
        </w:tc>
        <w:tc>
          <w:tcPr>
            <w:tcW w:w="2670" w:type="dxa"/>
            <w:vMerge w:val="restart"/>
            <w:vAlign w:val="center"/>
          </w:tcPr>
          <w:p>
            <w:pPr>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color w:val="000000"/>
                <w:sz w:val="21"/>
                <w:szCs w:val="21"/>
              </w:rPr>
              <w:t>工业机器人基础实训室</w:t>
            </w: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color w:val="000000"/>
                <w:sz w:val="21"/>
                <w:szCs w:val="21"/>
              </w:rPr>
              <w:t>工业机器人基础实训室</w:t>
            </w:r>
            <w:r>
              <w:rPr>
                <w:rFonts w:hint="eastAsia" w:asciiTheme="majorEastAsia" w:hAnsiTheme="majorEastAsia" w:eastAsiaTheme="majorEastAsia" w:cstheme="majorEastAsia"/>
                <w:snapToGrid w:val="0"/>
                <w:sz w:val="21"/>
                <w:szCs w:val="21"/>
              </w:rPr>
              <w:t>1：认知工作站</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vAlign w:val="center"/>
          </w:tcPr>
          <w:p>
            <w:pPr>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color w:val="000000"/>
                <w:sz w:val="21"/>
                <w:szCs w:val="21"/>
              </w:rPr>
              <w:t>工业机器人基础实训室</w:t>
            </w:r>
            <w:r>
              <w:rPr>
                <w:rFonts w:hint="eastAsia" w:asciiTheme="majorEastAsia" w:hAnsiTheme="majorEastAsia" w:eastAsiaTheme="majorEastAsia" w:cstheme="majorEastAsia"/>
                <w:snapToGrid w:val="0"/>
                <w:sz w:val="21"/>
                <w:szCs w:val="21"/>
              </w:rPr>
              <w:t>2：在线编程实训站</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color w:val="000000"/>
                <w:sz w:val="21"/>
                <w:szCs w:val="21"/>
              </w:rPr>
              <w:t>工业机器人基础实训室</w:t>
            </w:r>
            <w:r>
              <w:rPr>
                <w:rFonts w:hint="eastAsia" w:asciiTheme="majorEastAsia" w:hAnsiTheme="majorEastAsia" w:eastAsiaTheme="majorEastAsia" w:cstheme="majorEastAsia"/>
                <w:snapToGrid w:val="0"/>
                <w:sz w:val="21"/>
                <w:szCs w:val="21"/>
              </w:rPr>
              <w:t>3：维修维护实训站</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color w:val="000000"/>
                <w:sz w:val="21"/>
                <w:szCs w:val="21"/>
              </w:rPr>
              <w:t>工业机器人基础</w:t>
            </w:r>
            <w:r>
              <w:rPr>
                <w:rFonts w:hint="eastAsia" w:asciiTheme="majorEastAsia" w:hAnsiTheme="majorEastAsia" w:eastAsiaTheme="majorEastAsia" w:cstheme="majorEastAsia"/>
                <w:snapToGrid w:val="0"/>
                <w:sz w:val="21"/>
                <w:szCs w:val="21"/>
              </w:rPr>
              <w:t>实训室4：离线编程与仿真</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7</w:t>
            </w:r>
          </w:p>
        </w:tc>
        <w:tc>
          <w:tcPr>
            <w:tcW w:w="267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工业机器人运维实训室</w:t>
            </w: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napToGrid w:val="0"/>
                <w:sz w:val="21"/>
                <w:szCs w:val="21"/>
              </w:rPr>
              <w:t>工业机器人运维实训工作站</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napToGrid w:val="0"/>
                <w:sz w:val="21"/>
                <w:szCs w:val="21"/>
              </w:rPr>
              <w:t>计算机</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8</w:t>
            </w:r>
          </w:p>
        </w:tc>
        <w:tc>
          <w:tcPr>
            <w:tcW w:w="2670"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工业机器人集成应用实训室</w:t>
            </w: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napToGrid w:val="0"/>
                <w:sz w:val="21"/>
                <w:szCs w:val="21"/>
              </w:rPr>
              <w:t>工业机器人集成应用实训平台</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670"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4920"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napToGrid w:val="0"/>
                <w:sz w:val="21"/>
                <w:szCs w:val="21"/>
              </w:rPr>
              <w:t>计算机</w:t>
            </w:r>
          </w:p>
        </w:tc>
        <w:tc>
          <w:tcPr>
            <w:tcW w:w="1109" w:type="dxa"/>
            <w:vAlign w:val="center"/>
          </w:tcPr>
          <w:p>
            <w:pPr>
              <w:topLinePunct/>
              <w:adjustRightInd w:val="0"/>
              <w:snapToGrid w:val="0"/>
              <w:spacing w:line="560" w:lineRule="exact"/>
              <w:ind w:firstLine="420" w:firstLineChars="200"/>
              <w:jc w:val="both"/>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bl>
    <w:p>
      <w:pPr>
        <w:overflowPunct w:val="0"/>
        <w:spacing w:line="560" w:lineRule="exact"/>
        <w:ind w:firstLine="600" w:firstLineChars="200"/>
        <w:rPr>
          <w:rFonts w:ascii="仿宋" w:hAnsi="仿宋" w:eastAsia="仿宋" w:cs="仿宋"/>
        </w:rPr>
      </w:pPr>
      <w:r>
        <w:rPr>
          <w:rFonts w:hint="eastAsia" w:ascii="仿宋" w:hAnsi="仿宋" w:eastAsia="仿宋" w:cs="仿宋"/>
        </w:rPr>
        <w:t>2.校外实训基地</w:t>
      </w:r>
    </w:p>
    <w:p>
      <w:pPr>
        <w:overflowPunct w:val="0"/>
        <w:spacing w:line="560" w:lineRule="exact"/>
        <w:ind w:firstLine="600" w:firstLineChars="200"/>
        <w:rPr>
          <w:rFonts w:ascii="仿宋" w:hAnsi="仿宋" w:eastAsia="仿宋" w:cs="仿宋"/>
        </w:rPr>
      </w:pPr>
      <w:r>
        <w:rPr>
          <w:rFonts w:hint="eastAsia" w:ascii="仿宋" w:hAnsi="仿宋" w:eastAsia="仿宋" w:cs="仿宋"/>
        </w:rPr>
        <w:t>校企合作是实现工学结合人才培养模式、进行工作过程系统化课程开发的基础，为此，工业机器人技术应用专业在充分调研的基础上，根据工业机器人技术应用专业 学生顶岗实习“人数多、岗位多、单位分散”且工业机器人技术应用岗位责任性的特 点，提出了“学做结合、校企合作”等工学结合、校企合作思路，“学做结合、校企 合作”是指学校与公司、企业的合作，通过学习与到企业行业实际运用所学知识、技 能进行工学结合、校企合作，为了保证校企合作的长效良好运行，工业机器人技术应 用专业确立了“互惠互利、协调共管、灵活有效”等校企合作的原则、扩大了校企合 作的范围，实现了校企广泛程度的合作。</w:t>
      </w:r>
    </w:p>
    <w:p>
      <w:pPr>
        <w:overflowPunct w:val="0"/>
        <w:spacing w:line="560" w:lineRule="exact"/>
        <w:ind w:firstLine="600" w:firstLineChars="200"/>
        <w:rPr>
          <w:rFonts w:ascii="仿宋" w:hAnsi="仿宋" w:eastAsia="仿宋" w:cs="仿宋"/>
        </w:rPr>
      </w:pPr>
      <w:r>
        <w:rPr>
          <w:rFonts w:hint="eastAsia" w:ascii="仿宋" w:hAnsi="仿宋" w:eastAsia="仿宋" w:cs="仿宋"/>
        </w:rPr>
        <w:t>（三）教学资源</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pStyle w:val="4"/>
        <w:ind w:firstLine="600"/>
      </w:pPr>
      <w:r>
        <w:rPr>
          <w:rFonts w:hint="eastAsia"/>
        </w:rPr>
        <w:t>（四）教学方法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“以学生为中心”，根据学生特点，激发学生学习兴趣；实行任务驱动、项目导向等多种形式的“做中学、做中教”教学模式。</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专业课程采用现场教学法，实践教学法等。</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1.根据任务驱动、职业导入、职业岗位、职业拓展的逻辑线索构建本专业核心课程体系，可实现课程体系由学科体系到工作体系的转变。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2.以学生为中心，依循“学习项目→学习任务→技能训练”的课程实训模式，来设计和开发专业核心课程体系，是实现职业技术人才培养的有效途径。</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3.在职业导入过程课程中，通过系列小巧实用的技能训练，让学生在专业知识启蒙的同时，掌握基本技能、建立专业信心、培育职业情感、转换职业角色。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4.创建融“教、学、做”于一体的教学模式，教师的“教”（点拨、归纳、协助排除难题）和学生的“学与做”（项目操作），能有机融入在项目训练之中。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rPr>
      </w:pPr>
      <w:r>
        <w:rPr>
          <w:rFonts w:hint="eastAsia" w:ascii="楷体" w:hAnsi="楷体" w:eastAsia="楷体" w:cs="楷体"/>
        </w:rPr>
        <w:t>（五）学习评价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ab/>
      </w:r>
      <w:r>
        <w:rPr>
          <w:rFonts w:hint="eastAsia" w:ascii="仿宋" w:hAnsi="仿宋" w:eastAsia="仿宋" w:cs="仿宋"/>
        </w:rPr>
        <w:t>根据学分银行实施办法，学生可用职业资格证书申请相应课程的免修，以调动了学生课外主动学习的积极性。</w:t>
      </w:r>
    </w:p>
    <w:p>
      <w:pPr>
        <w:pStyle w:val="4"/>
        <w:ind w:firstLine="600"/>
      </w:pPr>
      <w:r>
        <w:rPr>
          <w:rFonts w:hint="eastAsia"/>
        </w:rPr>
        <w:t>（六）质量管理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p>
    <w:p>
      <w:pPr>
        <w:pStyle w:val="3"/>
        <w:ind w:firstLine="600"/>
      </w:pPr>
      <w:r>
        <w:rPr>
          <w:rFonts w:hint="eastAsia"/>
        </w:rPr>
        <w:t>九、毕业要求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毕业要求是学生通过规定年限的学习，须修满的专业人才培养方案所规定的学时，完成规定的教学活动，毕业时应达到的素质、知识和能力等方面要求。</w:t>
      </w:r>
    </w:p>
    <w:p>
      <w:pPr>
        <w:spacing w:line="560" w:lineRule="exact"/>
        <w:ind w:firstLine="600" w:firstLineChars="200"/>
        <w:rPr>
          <w:rFonts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_GBK">
    <w:altName w:val="黑体"/>
    <w:panose1 w:val="00000000000000000000"/>
    <w:charset w:val="86"/>
    <w:family w:val="script"/>
    <w:pitch w:val="default"/>
    <w:sig w:usb0="00000000" w:usb1="00000000" w:usb2="00000010" w:usb3="00000000" w:csb0="00040000" w:csb1="00000000"/>
  </w:font>
  <w:font w:name="方正大黑_GBK">
    <w:altName w:val="黑体"/>
    <w:panose1 w:val="00000000000000000000"/>
    <w:charset w:val="86"/>
    <w:family w:val="script"/>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11</w:t>
                    </w:r>
                    <w:r>
                      <w:rPr>
                        <w:sz w:val="24"/>
                        <w:szCs w:val="24"/>
                      </w:rPr>
                      <w:fldChar w:fldCharType="end"/>
                    </w:r>
                  </w:p>
                </w:txbxContent>
              </v:textbox>
            </v:shape>
          </w:pict>
        </mc:Fallback>
      </mc:AlternateContent>
    </w:r>
  </w:p>
  <w:p>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6</w:t>
                    </w:r>
                    <w:r>
                      <w:rPr>
                        <w:sz w:val="24"/>
                        <w:szCs w:val="24"/>
                      </w:rPr>
                      <w:fldChar w:fldCharType="end"/>
                    </w:r>
                  </w:p>
                </w:txbxContent>
              </v:textbox>
            </v:shape>
          </w:pict>
        </mc:Fallback>
      </mc:AlternateContent>
    </w:r>
  </w:p>
  <w:p>
    <w:pPr>
      <w:pStyle w:val="5"/>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F9DC5"/>
    <w:multiLevelType w:val="singleLevel"/>
    <w:tmpl w:val="021F9DC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8061348"/>
    <w:rsid w:val="0000197E"/>
    <w:rsid w:val="000C0DB9"/>
    <w:rsid w:val="001116E9"/>
    <w:rsid w:val="00477B88"/>
    <w:rsid w:val="00674463"/>
    <w:rsid w:val="00793F76"/>
    <w:rsid w:val="007B2059"/>
    <w:rsid w:val="009758F1"/>
    <w:rsid w:val="009D1451"/>
    <w:rsid w:val="00A31F2C"/>
    <w:rsid w:val="00B47E78"/>
    <w:rsid w:val="00B80F0D"/>
    <w:rsid w:val="00C7327F"/>
    <w:rsid w:val="00F0545F"/>
    <w:rsid w:val="00FB4228"/>
    <w:rsid w:val="04094F0F"/>
    <w:rsid w:val="08061348"/>
    <w:rsid w:val="0B243923"/>
    <w:rsid w:val="0B48482D"/>
    <w:rsid w:val="0D0935AD"/>
    <w:rsid w:val="0E8576A8"/>
    <w:rsid w:val="104A396E"/>
    <w:rsid w:val="1A5421FD"/>
    <w:rsid w:val="1ADB236E"/>
    <w:rsid w:val="214F6831"/>
    <w:rsid w:val="2CAB47C4"/>
    <w:rsid w:val="33FF1E9F"/>
    <w:rsid w:val="344C29A5"/>
    <w:rsid w:val="37631214"/>
    <w:rsid w:val="426E556F"/>
    <w:rsid w:val="46C35D4B"/>
    <w:rsid w:val="4D992604"/>
    <w:rsid w:val="4E1E6C20"/>
    <w:rsid w:val="56AA1BD6"/>
    <w:rsid w:val="56BF49F9"/>
    <w:rsid w:val="572C416D"/>
    <w:rsid w:val="5730373C"/>
    <w:rsid w:val="5D645A5E"/>
    <w:rsid w:val="5E8061D2"/>
    <w:rsid w:val="677F08FE"/>
    <w:rsid w:val="698D757B"/>
    <w:rsid w:val="72C6628C"/>
    <w:rsid w:val="73143679"/>
    <w:rsid w:val="78EE6BFE"/>
    <w:rsid w:val="7C1D6B8A"/>
    <w:rsid w:val="7D483E25"/>
    <w:rsid w:val="7EC7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paragraph" w:styleId="3">
    <w:name w:val="heading 1"/>
    <w:basedOn w:val="1"/>
    <w:next w:val="1"/>
    <w:qFormat/>
    <w:uiPriority w:val="0"/>
    <w:pPr>
      <w:keepNext/>
      <w:keepLines/>
      <w:spacing w:line="560" w:lineRule="exact"/>
      <w:ind w:firstLine="960" w:firstLineChars="200"/>
      <w:outlineLvl w:val="0"/>
    </w:pPr>
    <w:rPr>
      <w:rFonts w:eastAsia="黑体"/>
      <w:kern w:val="44"/>
    </w:rPr>
  </w:style>
  <w:style w:type="paragraph" w:styleId="4">
    <w:name w:val="heading 2"/>
    <w:basedOn w:val="1"/>
    <w:next w:val="1"/>
    <w:qFormat/>
    <w:uiPriority w:val="0"/>
    <w:pPr>
      <w:keepNext/>
      <w:keepLines/>
      <w:spacing w:line="560" w:lineRule="exact"/>
      <w:ind w:firstLine="1440" w:firstLineChars="200"/>
      <w:outlineLvl w:val="1"/>
    </w:pPr>
    <w:rPr>
      <w:rFonts w:ascii="Arial" w:hAnsi="Arial" w:eastAsia="楷体" w:cs="Arial"/>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21"/>
      <w:szCs w:val="21"/>
      <w:lang w:val="zh-CN" w:bidi="zh-CN"/>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rPr>
      <w:sz w:val="24"/>
    </w:rPr>
  </w:style>
  <w:style w:type="character" w:styleId="10">
    <w:name w:val="page number"/>
    <w:basedOn w:val="9"/>
    <w:qFormat/>
    <w:uiPriority w:val="0"/>
  </w:style>
  <w:style w:type="character" w:styleId="11">
    <w:name w:val="FollowedHyperlink"/>
    <w:basedOn w:val="9"/>
    <w:qFormat/>
    <w:uiPriority w:val="0"/>
    <w:rPr>
      <w:color w:val="0033CC"/>
      <w:u w:val="single"/>
    </w:rPr>
  </w:style>
  <w:style w:type="character" w:styleId="12">
    <w:name w:val="Hyperlink"/>
    <w:basedOn w:val="9"/>
    <w:qFormat/>
    <w:uiPriority w:val="0"/>
    <w:rPr>
      <w:color w:val="0033CC"/>
      <w:u w:val="single"/>
    </w:rPr>
  </w:style>
  <w:style w:type="paragraph" w:customStyle="1" w:styleId="13">
    <w:name w:val="bt2"/>
    <w:basedOn w:val="1"/>
    <w:qFormat/>
    <w:uiPriority w:val="0"/>
    <w:pPr>
      <w:tabs>
        <w:tab w:val="left" w:pos="426"/>
      </w:tabs>
      <w:topLinePunct/>
      <w:adjustRightInd w:val="0"/>
      <w:snapToGrid w:val="0"/>
      <w:spacing w:beforeLines="70" w:afterLines="30" w:line="400" w:lineRule="atLeast"/>
      <w:ind w:firstLine="539"/>
      <w:jc w:val="left"/>
    </w:pPr>
    <w:rPr>
      <w:rFonts w:ascii="黑体" w:hAnsi="黑体" w:eastAsia="方正大标宋_GBK"/>
      <w:snapToGrid w:val="0"/>
      <w:sz w:val="28"/>
      <w:szCs w:val="28"/>
    </w:rPr>
  </w:style>
  <w:style w:type="paragraph" w:customStyle="1" w:styleId="14">
    <w:name w:val="bt1"/>
    <w:basedOn w:val="1"/>
    <w:qFormat/>
    <w:uiPriority w:val="0"/>
    <w:pPr>
      <w:spacing w:before="1440" w:beforeLines="600" w:after="1200" w:afterLines="500"/>
      <w:jc w:val="center"/>
    </w:pPr>
    <w:rPr>
      <w:rFonts w:ascii="方正大标宋_GBK" w:hAnsi="楷体" w:eastAsia="方正大黑_GBK"/>
      <w:sz w:val="48"/>
      <w:szCs w:val="48"/>
      <w:u w:val="double"/>
    </w:rPr>
  </w:style>
  <w:style w:type="paragraph" w:customStyle="1" w:styleId="15">
    <w:name w:val="表文"/>
    <w:basedOn w:val="1"/>
    <w:qFormat/>
    <w:uiPriority w:val="0"/>
    <w:pPr>
      <w:tabs>
        <w:tab w:val="left" w:pos="426"/>
        <w:tab w:val="left" w:pos="709"/>
      </w:tabs>
      <w:spacing w:line="320" w:lineRule="atLeast"/>
    </w:pPr>
    <w:rPr>
      <w:position w:val="1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9738</Words>
  <Characters>9957</Characters>
  <Lines>86</Lines>
  <Paragraphs>24</Paragraphs>
  <TotalTime>0</TotalTime>
  <ScaleCrop>false</ScaleCrop>
  <LinksUpToDate>false</LinksUpToDate>
  <CharactersWithSpaces>10024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2023-06-16T00:45:00Z</dcterms:created>
  <dc:creator>Administrator</dc:creator>
  <cp:lastModifiedBy>Spring</cp:lastModifiedBy>
  <dcterms:modified xsi:type="dcterms:W3CDTF">2023-08-25T05:56:23Z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64FFC88DC2594292B18B83BA34BA2EE2_13</vt:lpwstr>
  </property>
</Properties>
</file>