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ascii="宋体" w:hAnsi="宋体"/>
          <w:sz w:val="72"/>
          <w:szCs w:val="72"/>
        </w:rPr>
      </w:pPr>
    </w:p>
    <w:p>
      <w:pPr>
        <w:snapToGrid/>
        <w:spacing w:line="360" w:lineRule="auto"/>
        <w:ind w:firstLine="0"/>
        <w:jc w:val="center"/>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汽车运用与维修专业人才培养方案</w:t>
      </w:r>
    </w:p>
    <w:p>
      <w:pPr>
        <w:spacing w:line="480" w:lineRule="auto"/>
        <w:ind w:firstLine="0"/>
        <w:jc w:val="center"/>
        <w:rPr>
          <w:rFonts w:ascii="黑体" w:hAnsi="宋体" w:eastAsia="黑体"/>
          <w:szCs w:val="24"/>
        </w:rPr>
      </w:pPr>
    </w:p>
    <w:p>
      <w:pPr>
        <w:spacing w:line="480" w:lineRule="auto"/>
        <w:ind w:firstLine="0"/>
        <w:jc w:val="center"/>
        <w:rPr>
          <w:rFonts w:ascii="黑体" w:hAnsi="宋体" w:eastAsia="黑体"/>
          <w:szCs w:val="24"/>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w:t>
      </w:r>
      <w:r>
        <w:rPr>
          <w:rFonts w:ascii="黑体" w:hAnsi="宋体" w:eastAsia="黑体"/>
          <w:sz w:val="36"/>
          <w:szCs w:val="36"/>
        </w:rPr>
        <w:t>3</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snapToGrid/>
        <w:spacing w:line="240" w:lineRule="auto"/>
        <w:jc w:val="center"/>
        <w:rPr>
          <w:rFonts w:ascii="黑体" w:hAnsi="宋体" w:eastAsia="黑体"/>
          <w:sz w:val="36"/>
          <w:szCs w:val="36"/>
        </w:rPr>
      </w:pP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ind w:left="0" w:leftChars="0" w:firstLine="0" w:firstLineChars="0"/>
        <w:jc w:val="center"/>
        <w:rPr>
          <w:rFonts w:ascii="黑体" w:hAnsi="宋体" w:eastAsia="黑体"/>
          <w:sz w:val="32"/>
          <w:szCs w:val="32"/>
        </w:rPr>
      </w:pPr>
      <w:r>
        <w:rPr>
          <w:rFonts w:hint="eastAsia" w:ascii="黑体" w:hAnsi="黑体" w:eastAsia="黑体" w:cs="黑体"/>
          <w:sz w:val="32"/>
          <w:szCs w:val="32"/>
        </w:rPr>
        <w:t>目    录</w:t>
      </w:r>
    </w:p>
    <w:p>
      <w:pPr>
        <w:snapToGrid/>
        <w:spacing w:line="240" w:lineRule="auto"/>
        <w:jc w:val="center"/>
        <w:rPr>
          <w:rFonts w:ascii="黑体" w:hAnsi="黑体" w:eastAsia="黑体" w:cs="黑体"/>
          <w:sz w:val="32"/>
          <w:szCs w:val="32"/>
        </w:rPr>
      </w:pPr>
    </w:p>
    <w:p>
      <w:pPr>
        <w:pStyle w:val="101"/>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Times New Roman" w:eastAsia="黑体"/>
          <w:sz w:val="24"/>
          <w:szCs w:val="24"/>
          <w:lang w:val="en-US" w:eastAsia="zh-CN"/>
        </w:rPr>
        <w:t>3</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rPr>
        <w:t>1</w:t>
      </w:r>
      <w:r>
        <w:rPr>
          <w:rFonts w:hint="eastAsia" w:ascii="Times New Roman" w:hAnsi="Times New Roman" w:eastAsia="黑体"/>
          <w:sz w:val="24"/>
          <w:szCs w:val="24"/>
          <w:lang w:val="en-US" w:eastAsia="zh-CN"/>
        </w:rPr>
        <w:t>1</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w:t>
      </w:r>
      <w:r>
        <w:rPr>
          <w:rFonts w:hint="eastAsia" w:ascii="Times New Roman" w:hAnsi="Times New Roman" w:eastAsia="黑体"/>
          <w:sz w:val="24"/>
          <w:szCs w:val="24"/>
          <w:lang w:val="en-US" w:eastAsia="zh-CN"/>
        </w:rPr>
        <w:t>3</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九、毕业要求………………………………………………………………………………</w:t>
      </w:r>
      <w:r>
        <w:rPr>
          <w:rFonts w:hint="eastAsia" w:ascii="宋体" w:hAnsi="宋体" w:eastAsia="宋体"/>
          <w:sz w:val="24"/>
          <w:szCs w:val="24"/>
          <w:lang w:val="en-US" w:eastAsia="zh-CN"/>
        </w:rPr>
        <w:t xml:space="preserve"> </w:t>
      </w:r>
      <w:r>
        <w:rPr>
          <w:rFonts w:ascii="Times New Roman" w:hAnsi="Viner Hand ITC" w:eastAsia="黑体"/>
          <w:sz w:val="24"/>
          <w:szCs w:val="24"/>
        </w:rPr>
        <w:t>（</w:t>
      </w:r>
      <w:r>
        <w:rPr>
          <w:rFonts w:ascii="Times New Roman" w:hAnsi="Times New Roman" w:eastAsia="黑体"/>
          <w:sz w:val="24"/>
          <w:szCs w:val="24"/>
        </w:rPr>
        <w:t>1</w:t>
      </w:r>
      <w:r>
        <w:rPr>
          <w:rFonts w:hint="eastAsia" w:ascii="Times New Roman" w:hAnsi="Times New Roman" w:eastAsia="黑体"/>
          <w:sz w:val="24"/>
          <w:szCs w:val="24"/>
          <w:lang w:val="en-US" w:eastAsia="zh-CN"/>
        </w:rPr>
        <w:t>8</w:t>
      </w:r>
      <w:r>
        <w:rPr>
          <w:rFonts w:ascii="Times New Roman" w:hAnsi="Viner Hand ITC" w:eastAsia="黑体"/>
          <w:sz w:val="24"/>
          <w:szCs w:val="24"/>
        </w:rPr>
        <w:t>）</w:t>
      </w:r>
    </w:p>
    <w:p>
      <w:pPr>
        <w:pStyle w:val="101"/>
        <w:snapToGrid/>
        <w:spacing w:before="0" w:beforeLines="0" w:after="0" w:afterLines="0" w:line="480" w:lineRule="exact"/>
        <w:ind w:firstLine="0"/>
        <w:jc w:val="both"/>
        <w:rPr>
          <w:rFonts w:hint="default" w:ascii="Times New Roman" w:hAnsi="Viner Hand ITC" w:eastAsia="宋体"/>
          <w:sz w:val="24"/>
          <w:szCs w:val="24"/>
          <w:lang w:val="en-US" w:eastAsia="zh-CN"/>
        </w:rPr>
      </w:pPr>
      <w:r>
        <w:rPr>
          <w:rFonts w:hint="eastAsia" w:ascii="Times New Roman" w:hAnsi="Viner Hand ITC" w:eastAsia="黑体"/>
          <w:sz w:val="24"/>
          <w:szCs w:val="24"/>
          <w:lang w:eastAsia="zh-CN"/>
        </w:rPr>
        <w:t>十、</w:t>
      </w:r>
      <w:r>
        <w:rPr>
          <w:rFonts w:hint="eastAsia" w:ascii="宋体" w:hAnsi="宋体" w:eastAsia="宋体"/>
          <w:sz w:val="24"/>
          <w:szCs w:val="24"/>
        </w:rPr>
        <w:t>接续专业………………………………………………………………………………</w:t>
      </w:r>
      <w:r>
        <w:rPr>
          <w:rFonts w:hint="eastAsia" w:ascii="宋体" w:hAnsi="宋体" w:eastAsia="宋体"/>
          <w:sz w:val="24"/>
          <w:szCs w:val="24"/>
          <w:lang w:val="en-US" w:eastAsia="zh-CN"/>
        </w:rPr>
        <w:t xml:space="preserve"> </w:t>
      </w:r>
      <w:r>
        <w:rPr>
          <w:rFonts w:hint="eastAsia" w:ascii="Times New Roman" w:hAnsi="Times New Roman" w:eastAsia="黑体"/>
          <w:sz w:val="24"/>
          <w:szCs w:val="24"/>
          <w:lang w:val="en-US" w:eastAsia="zh-CN"/>
        </w:rPr>
        <w:t>（18）</w:t>
      </w:r>
    </w:p>
    <w:p>
      <w:pPr>
        <w:pStyle w:val="83"/>
        <w:spacing w:before="800" w:beforeLines="200" w:after="800" w:afterLines="200"/>
        <w:rPr>
          <w:u w:val="none"/>
        </w:rPr>
      </w:pPr>
    </w:p>
    <w:p>
      <w:pPr>
        <w:pStyle w:val="83"/>
        <w:spacing w:before="800" w:beforeLines="200" w:after="800" w:afterLines="200"/>
        <w:rPr>
          <w:u w:val="none"/>
        </w:rPr>
      </w:pPr>
    </w:p>
    <w:p>
      <w:pPr>
        <w:pStyle w:val="83"/>
        <w:spacing w:before="800" w:beforeLines="200" w:after="800" w:afterLines="200"/>
        <w:rPr>
          <w:u w:val="none"/>
        </w:rPr>
      </w:pPr>
    </w:p>
    <w:p>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汽车运用与维修专业人才培养方案</w:t>
      </w:r>
    </w:p>
    <w:p>
      <w:pPr>
        <w:pStyle w:val="101"/>
        <w:spacing w:before="0" w:beforeLines="0" w:after="0" w:afterLines="0" w:line="240" w:lineRule="auto"/>
      </w:pPr>
    </w:p>
    <w:p>
      <w:pPr>
        <w:overflowPunct w:val="0"/>
        <w:spacing w:before="200" w:beforeLines="50"/>
        <w:ind w:firstLine="600" w:firstLineChars="200"/>
        <w:rPr>
          <w:rFonts w:ascii="黑体" w:hAnsi="黑体"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专业名称：汽车运用与维修</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专业代码：700206</w:t>
      </w:r>
    </w:p>
    <w:p>
      <w:pPr>
        <w:overflowPunct w:val="0"/>
        <w:spacing w:before="200" w:beforeLines="50"/>
        <w:ind w:firstLine="600" w:firstLineChars="200"/>
        <w:rPr>
          <w:rFonts w:ascii="黑体" w:hAnsi="黑体"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before="200" w:beforeLines="50"/>
        <w:ind w:firstLine="600" w:firstLineChars="200"/>
        <w:rPr>
          <w:rFonts w:ascii="黑体" w:hAnsi="黑体"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w:t>
      </w:r>
      <w:r>
        <w:rPr>
          <w:rFonts w:hint="eastAsia" w:ascii="仿宋" w:hAnsi="仿宋" w:eastAsia="仿宋" w:cs="仿宋"/>
          <w:sz w:val="30"/>
          <w:szCs w:val="30"/>
          <w:lang w:eastAsia="zh-CN"/>
        </w:rPr>
        <w:t>学制</w:t>
      </w:r>
      <w:r>
        <w:rPr>
          <w:rFonts w:hint="eastAsia" w:ascii="仿宋" w:hAnsi="仿宋" w:eastAsia="仿宋" w:cs="仿宋"/>
          <w:sz w:val="30"/>
          <w:szCs w:val="30"/>
        </w:rPr>
        <w:t>三年</w:t>
      </w:r>
    </w:p>
    <w:p>
      <w:pPr>
        <w:overflowPunct w:val="0"/>
        <w:spacing w:before="200" w:beforeLines="50"/>
        <w:ind w:firstLine="600" w:firstLineChars="200"/>
        <w:rPr>
          <w:rFonts w:ascii="黑体" w:hAnsi="黑体" w:eastAsia="黑体"/>
          <w:sz w:val="30"/>
          <w:szCs w:val="30"/>
        </w:rPr>
      </w:pPr>
      <w:r>
        <w:rPr>
          <w:rFonts w:hint="eastAsia" w:ascii="黑体" w:hAnsi="黑体" w:eastAsia="黑体"/>
          <w:sz w:val="30"/>
          <w:szCs w:val="30"/>
        </w:rPr>
        <w:t>四、职业面向</w:t>
      </w:r>
    </w:p>
    <w:p>
      <w:pPr>
        <w:spacing w:line="560" w:lineRule="exact"/>
        <w:ind w:firstLine="537" w:firstLineChars="179"/>
        <w:rPr>
          <w:rFonts w:ascii="仿宋" w:hAnsi="仿宋" w:eastAsia="仿宋" w:cs="仿宋"/>
          <w:sz w:val="30"/>
          <w:szCs w:val="30"/>
        </w:rPr>
      </w:pPr>
      <w:r>
        <w:rPr>
          <w:rFonts w:ascii="仿宋" w:hAnsi="仿宋" w:eastAsia="仿宋" w:cs="仿宋"/>
          <w:sz w:val="30"/>
          <w:szCs w:val="30"/>
        </w:rPr>
        <w:t>面向汽车机电维修、汽车维修接待等岗位（群）。</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701"/>
        <w:gridCol w:w="3119"/>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4" w:type="dxa"/>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701" w:type="dxa"/>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3119" w:type="dxa"/>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3191" w:type="dxa"/>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4" w:type="dxa"/>
            <w:vAlign w:val="center"/>
          </w:tcPr>
          <w:p>
            <w:pPr>
              <w:overflowPunct w:val="0"/>
              <w:spacing w:line="240" w:lineRule="auto"/>
              <w:ind w:firstLine="0"/>
              <w:jc w:val="center"/>
              <w:rPr>
                <w:rFonts w:ascii="仿宋" w:hAnsi="仿宋" w:eastAsia="仿宋" w:cs="仿宋"/>
                <w:snapToGrid/>
                <w:kern w:val="0"/>
                <w:szCs w:val="24"/>
              </w:rPr>
            </w:pPr>
            <w:r>
              <w:rPr>
                <w:rFonts w:hint="eastAsia" w:ascii="仿宋" w:hAnsi="仿宋" w:eastAsia="仿宋" w:cs="仿宋"/>
                <w:snapToGrid/>
                <w:kern w:val="0"/>
                <w:szCs w:val="24"/>
              </w:rPr>
              <w:t>1</w:t>
            </w:r>
          </w:p>
        </w:tc>
        <w:tc>
          <w:tcPr>
            <w:tcW w:w="1701" w:type="dxa"/>
            <w:vAlign w:val="center"/>
          </w:tcPr>
          <w:p>
            <w:pPr>
              <w:overflowPunct w:val="0"/>
              <w:spacing w:line="240" w:lineRule="auto"/>
              <w:ind w:firstLine="0"/>
              <w:jc w:val="center"/>
              <w:rPr>
                <w:rFonts w:ascii="仿宋" w:hAnsi="仿宋" w:eastAsia="仿宋" w:cs="仿宋"/>
                <w:snapToGrid/>
                <w:kern w:val="0"/>
                <w:szCs w:val="24"/>
              </w:rPr>
            </w:pPr>
            <w:r>
              <w:rPr>
                <w:rFonts w:hint="eastAsia" w:ascii="仿宋" w:hAnsi="仿宋" w:eastAsia="仿宋" w:cs="仿宋"/>
                <w:snapToGrid/>
                <w:kern w:val="0"/>
                <w:szCs w:val="24"/>
              </w:rPr>
              <w:t>汽车机电维修</w:t>
            </w:r>
          </w:p>
        </w:tc>
        <w:tc>
          <w:tcPr>
            <w:tcW w:w="3119" w:type="dxa"/>
            <w:vAlign w:val="center"/>
          </w:tcPr>
          <w:p>
            <w:pPr>
              <w:overflowPunct w:val="0"/>
              <w:spacing w:line="400" w:lineRule="exact"/>
              <w:ind w:firstLine="0"/>
              <w:jc w:val="left"/>
              <w:rPr>
                <w:rFonts w:ascii="仿宋" w:hAnsi="仿宋" w:eastAsia="仿宋" w:cs="仿宋"/>
                <w:snapToGrid/>
                <w:kern w:val="0"/>
                <w:szCs w:val="24"/>
              </w:rPr>
            </w:pPr>
            <w:r>
              <w:rPr>
                <w:rFonts w:hint="eastAsia" w:ascii="仿宋" w:hAnsi="仿宋" w:eastAsia="仿宋" w:cs="仿宋"/>
                <w:snapToGrid/>
                <w:kern w:val="0"/>
                <w:szCs w:val="24"/>
              </w:rPr>
              <w:t>汽车机械维修、汽车电器维修、汽车定期维护、汽车故障诊断等</w:t>
            </w:r>
          </w:p>
        </w:tc>
        <w:tc>
          <w:tcPr>
            <w:tcW w:w="3191" w:type="dxa"/>
            <w:vAlign w:val="center"/>
          </w:tcPr>
          <w:p>
            <w:pPr>
              <w:overflowPunct w:val="0"/>
              <w:spacing w:line="400" w:lineRule="exact"/>
              <w:ind w:firstLine="0"/>
              <w:jc w:val="left"/>
              <w:rPr>
                <w:rFonts w:ascii="仿宋" w:hAnsi="仿宋" w:eastAsia="仿宋" w:cs="仿宋"/>
                <w:snapToGrid/>
                <w:kern w:val="0"/>
                <w:szCs w:val="24"/>
              </w:rPr>
            </w:pPr>
            <w:r>
              <w:rPr>
                <w:rFonts w:hint="eastAsia" w:ascii="仿宋" w:hAnsi="仿宋" w:eastAsia="仿宋" w:cs="仿宋"/>
                <w:szCs w:val="24"/>
              </w:rPr>
              <w:t>国家职业技能等级认证汽车机械维修工、汽车电器维修工、汽车维修检验工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4" w:type="dxa"/>
            <w:vAlign w:val="center"/>
          </w:tcPr>
          <w:p>
            <w:pPr>
              <w:overflowPunct w:val="0"/>
              <w:spacing w:line="240" w:lineRule="auto"/>
              <w:ind w:firstLine="0"/>
              <w:jc w:val="center"/>
              <w:rPr>
                <w:rFonts w:ascii="仿宋" w:hAnsi="仿宋" w:eastAsia="仿宋" w:cs="仿宋"/>
                <w:snapToGrid/>
                <w:kern w:val="0"/>
                <w:szCs w:val="24"/>
              </w:rPr>
            </w:pPr>
            <w:r>
              <w:rPr>
                <w:rFonts w:hint="eastAsia" w:ascii="仿宋" w:hAnsi="仿宋" w:eastAsia="仿宋" w:cs="仿宋"/>
                <w:snapToGrid/>
                <w:kern w:val="0"/>
                <w:szCs w:val="24"/>
              </w:rPr>
              <w:t>2</w:t>
            </w:r>
          </w:p>
        </w:tc>
        <w:tc>
          <w:tcPr>
            <w:tcW w:w="1701" w:type="dxa"/>
            <w:vAlign w:val="center"/>
          </w:tcPr>
          <w:p>
            <w:pPr>
              <w:overflowPunct w:val="0"/>
              <w:spacing w:line="240" w:lineRule="auto"/>
              <w:ind w:firstLine="0"/>
              <w:jc w:val="center"/>
              <w:rPr>
                <w:rFonts w:ascii="仿宋" w:hAnsi="仿宋" w:eastAsia="仿宋" w:cs="仿宋"/>
                <w:snapToGrid/>
                <w:kern w:val="0"/>
                <w:szCs w:val="24"/>
              </w:rPr>
            </w:pPr>
            <w:r>
              <w:rPr>
                <w:rFonts w:hint="eastAsia" w:ascii="仿宋" w:hAnsi="仿宋" w:eastAsia="仿宋" w:cs="仿宋"/>
                <w:snapToGrid/>
                <w:kern w:val="0"/>
                <w:szCs w:val="24"/>
              </w:rPr>
              <w:t>汽车维修检测</w:t>
            </w:r>
          </w:p>
        </w:tc>
        <w:tc>
          <w:tcPr>
            <w:tcW w:w="3119" w:type="dxa"/>
            <w:vAlign w:val="center"/>
          </w:tcPr>
          <w:p>
            <w:pPr>
              <w:overflowPunct w:val="0"/>
              <w:spacing w:line="400" w:lineRule="exact"/>
              <w:ind w:firstLine="0"/>
              <w:jc w:val="left"/>
              <w:rPr>
                <w:rFonts w:ascii="仿宋" w:hAnsi="仿宋" w:eastAsia="仿宋" w:cs="仿宋"/>
                <w:snapToGrid/>
                <w:kern w:val="0"/>
                <w:szCs w:val="24"/>
              </w:rPr>
            </w:pPr>
            <w:r>
              <w:rPr>
                <w:rFonts w:hint="eastAsia" w:ascii="仿宋" w:hAnsi="仿宋" w:eastAsia="仿宋" w:cs="仿宋"/>
                <w:snapToGrid/>
                <w:kern w:val="0"/>
                <w:szCs w:val="24"/>
              </w:rPr>
              <w:t>汽车维修接待、汽车维修检验等</w:t>
            </w:r>
          </w:p>
        </w:tc>
        <w:tc>
          <w:tcPr>
            <w:tcW w:w="3191" w:type="dxa"/>
            <w:vAlign w:val="center"/>
          </w:tcPr>
          <w:p>
            <w:pPr>
              <w:overflowPunct w:val="0"/>
              <w:spacing w:line="400" w:lineRule="exact"/>
              <w:ind w:firstLine="0"/>
              <w:jc w:val="left"/>
              <w:rPr>
                <w:rFonts w:ascii="仿宋" w:hAnsi="仿宋" w:eastAsia="仿宋" w:cs="仿宋"/>
                <w:snapToGrid/>
                <w:kern w:val="0"/>
                <w:szCs w:val="24"/>
              </w:rPr>
            </w:pPr>
            <w:r>
              <w:rPr>
                <w:rFonts w:hint="eastAsia" w:ascii="仿宋" w:hAnsi="仿宋" w:eastAsia="仿宋" w:cs="仿宋"/>
                <w:szCs w:val="24"/>
              </w:rPr>
              <w:t>国家职业技能等级认证汽车维修检验工</w:t>
            </w:r>
          </w:p>
        </w:tc>
      </w:tr>
    </w:tbl>
    <w:p>
      <w:pPr>
        <w:overflowPunct w:val="0"/>
        <w:spacing w:before="200" w:beforeLines="50"/>
        <w:ind w:firstLine="600" w:firstLineChars="200"/>
        <w:rPr>
          <w:rFonts w:ascii="黑体" w:hAnsi="黑体" w:eastAsia="黑体"/>
          <w:sz w:val="30"/>
          <w:szCs w:val="30"/>
        </w:rPr>
      </w:pPr>
      <w:r>
        <w:rPr>
          <w:rFonts w:hint="eastAsia" w:ascii="黑体" w:hAnsi="黑体" w:eastAsia="黑体"/>
          <w:sz w:val="30"/>
          <w:szCs w:val="30"/>
        </w:rPr>
        <w:t>五、培养目标定位</w:t>
      </w:r>
    </w:p>
    <w:p>
      <w:pPr>
        <w:spacing w:line="560" w:lineRule="atLeast"/>
        <w:ind w:firstLine="600" w:firstLineChars="200"/>
        <w:rPr>
          <w:sz w:val="28"/>
          <w:szCs w:val="28"/>
        </w:rPr>
      </w:pPr>
      <w:r>
        <w:rPr>
          <w:rFonts w:hint="eastAsia" w:ascii="楷体" w:hAnsi="楷体" w:eastAsia="楷体" w:cs="楷体"/>
          <w:sz w:val="30"/>
          <w:szCs w:val="30"/>
        </w:rPr>
        <w:t>（一）培养目标</w:t>
      </w:r>
    </w:p>
    <w:p>
      <w:pPr>
        <w:spacing w:line="560" w:lineRule="atLeast"/>
        <w:ind w:firstLine="600" w:firstLineChars="200"/>
        <w:rPr>
          <w:rFonts w:ascii="仿宋" w:hAnsi="仿宋" w:eastAsia="仿宋" w:cs="仿宋"/>
          <w:sz w:val="30"/>
          <w:szCs w:val="30"/>
        </w:rPr>
      </w:pPr>
      <w:r>
        <w:rPr>
          <w:rFonts w:ascii="仿宋" w:hAnsi="仿宋" w:eastAsia="仿宋" w:cs="仿宋"/>
          <w:sz w:val="30"/>
          <w:szCs w:val="30"/>
        </w:rPr>
        <w:t>本专业培养德智体美劳全面发展，掌握扎实的科学文化基础和汽车电气、汽车结构等知识，具备汽车维修工具选择与使用、维修信息获取与运用、汽车定期维护、汽车发动机及控制系统检修、汽车底盘及控制系统检修、汽车车身电气设备检修等能力，具有工匠精神和信息素养，能够从事汽车使用、维护、检测、修理等工作的技术技能人才。</w:t>
      </w:r>
    </w:p>
    <w:p>
      <w:pPr>
        <w:spacing w:line="560" w:lineRule="atLeas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（1）具有良好的职业道德，自觉遵守行业法规、规范和企业规章制度；</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（4）具备安全生产、节能环保和规范操作的意识；</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（6）具有健康的心理和体魄、树立职业竞争和创新意识。</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具有终身学习和可持续发展能力。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2.主要专业能力要求</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具备正确选择并熟练使用汽车维修常用工具、量具及检测仪器设备的能力；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具备阅读汽车维修设备使用说明书和汽车维修技术资料的能力；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具备汽车维护作业的能力；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具备汽车发动机总成及其零部件拆装、检测与更换的能力；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具备汽车发动机控制系统检查、测试及其零部件和电路检修与更换的能力；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具备汽车底盘及底盘控制系统维修检查、测试、调整，线路检测与修理，总成修理与更换的能力；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具备汽车车身电气设备及其电路拆装、检测、修理和更换的能力；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（8）</w:t>
      </w:r>
      <w:r>
        <w:rPr>
          <w:rFonts w:ascii="仿宋" w:hAnsi="仿宋" w:eastAsia="仿宋" w:cs="仿宋"/>
          <w:sz w:val="30"/>
          <w:szCs w:val="30"/>
        </w:rPr>
        <w:t>具备适应产业数字化发展需求的基本数字技能，掌握信息技术基础知识、专业信息技术能力，初步掌握汽车维修服务领域数字化技能；</w:t>
      </w:r>
    </w:p>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公共基础课包括政治、语文、数学、英语、体育与健康、公共艺术、历史、信息技术以及其他自然科学和人文科学类基础课。</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560" w:lineRule="atLeas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9.信息技术</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10.艺术</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spacing w:line="56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365"/>
        <w:gridCol w:w="5445"/>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2365"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445"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1038"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中国特色社会主义</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心理健康与职业生涯</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哲学与人生</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职业道德与法治</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5</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语文</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6</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数学</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7</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英语</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信息技术</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依据《中等职业学校信息技术课程标准》开设，并注重在职业模块的教学内容中体现专业特色。</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体育与健康</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10</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艺术</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依据《中等职业学校公共艺术课程标准》开设，并与专业实际和行业发展密切结合。</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11</w:t>
            </w:r>
          </w:p>
        </w:tc>
        <w:tc>
          <w:tcPr>
            <w:tcW w:w="2365"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历史</w:t>
            </w:r>
          </w:p>
        </w:tc>
        <w:tc>
          <w:tcPr>
            <w:tcW w:w="544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1038"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bl>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.汽车发动机结构与拆装</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让学生了解汽车发动机的总体结构，全面掌握汽车发动机各组成系统的作用、结构、工作原理，使学生掌握正确拆装发动机各机构配件的能力，加强学生独立分析和解决问题的能力和创新能力，为从事汽车维修行业打下良好的基础；本课程作为一门专业基础课程，为后续《汽车发动机机械检修》、《汽车发动机控制系统检修》和《汽车定期维护》等核心课程奠定坚实的基础。</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.汽车底盘结构与拆装</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理论性和实践性都较强，主要以底盘结构的基本理论为基础，融合了底盘各系统的基本知识和拆装流程，通过本课程的学习，培养学生具备汽车底盘各部件正确拆装和检修的基本知识和基本技能。使学生掌握汽车底盘修理的操作技能、技巧，能正确使用机、工、量具；是汽车专业的基础课程，是学习后续专业核心课程的重要基础。</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.汽车电工电子基础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掌握汽车基本电路及电子电路概念、基本理论和基本分析方法，掌握安全用电常识，掌握电气测量技术的基本原理和方法，熟练使用万用表等常用电工仪器，为学习后续课程打下坚实的理论及技能基础，为提高学生各专门化的职业能力奠定良好的基础。</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.汽车车身电气设备检修</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具有汽车电气设备的基本知识和汽车电气设备维修的基本技能。通过理论教学和实践技能训练，使学生系统掌握汽车电气设备的结构、基本工作原理、使用和维修、检测和调试、故障诊断与排除等基本知识和基本技能；同时掌握汽车空调的基本组成、原理及维修检测方法。</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.汽车定期维护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学生能达到掌握常见汽车故障、维护保养内容和方法的基本知识，初步具有汽车全面的维护与保养能力，具备正确使用汽车维护作业中常用设备、工具、量具、仪器仪表的能力量具、仪器仪表的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.汽车发动机控制系统检修</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全面掌握汽车发动机电控系统的基本构成、原理认识，掌握故障诊断策略和故障诊断流程，并能熟练利用现代诊疗和检测设备进行综合故障诊疗、分析，具备故障诊断和零部件检测、维修和更换等专业能力。同时重视培养学生社会能力和方法能力等。</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7</w:t>
      </w:r>
      <w:r>
        <w:rPr>
          <w:rFonts w:hint="eastAsia" w:ascii="仿宋" w:hAnsi="仿宋" w:eastAsia="仿宋" w:cs="仿宋"/>
          <w:sz w:val="30"/>
          <w:szCs w:val="30"/>
        </w:rPr>
        <w:t>.汽车发动机机械检修</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培养学生对汽车发动机各组成系统拆装、检修与调整、更换的能力，使学生能达到汽车维修高级工有关发动机检修的技能标准和规范要求，能适应汽车维修工作和服务接待工作的工作要求。具备</w:t>
      </w:r>
      <w:r>
        <w:rPr>
          <w:rFonts w:ascii="仿宋" w:hAnsi="仿宋" w:eastAsia="仿宋" w:cs="仿宋"/>
          <w:sz w:val="30"/>
          <w:szCs w:val="30"/>
        </w:rPr>
        <w:t>阅读汽车维修设备使用说明书和汽车维修技术资料的能力</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8.汽车底盘电控技术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该课程是汽车运用与维修专业的一门专业核心课，主要包括</w:t>
      </w:r>
      <w:r>
        <w:rPr>
          <w:rFonts w:ascii="仿宋" w:hAnsi="仿宋" w:eastAsia="仿宋" w:cs="仿宋"/>
          <w:sz w:val="30"/>
          <w:szCs w:val="30"/>
        </w:rPr>
        <w:t>汽车传动及控制系统检修、汽车行驶与转向及控制系统检修、汽车制动及控制系统检修</w:t>
      </w:r>
      <w:r>
        <w:rPr>
          <w:rFonts w:hint="eastAsia" w:ascii="仿宋" w:hAnsi="仿宋" w:eastAsia="仿宋" w:cs="仿宋"/>
          <w:sz w:val="30"/>
          <w:szCs w:val="30"/>
        </w:rPr>
        <w:t>等内容。通过本课程的学习，使学生掌握汽车底盘电子控制技术原理、诊断与检修的基础知识和技能，能够从事汽车底盘及控制系统的维修与检测、维修设备的使用、维护保养和生产技术管理工作。同时培养学生的实际动手能力，提高分析和解决问题的能力，为今后职业岗位工作打好基础。</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9</w:t>
      </w:r>
      <w:r>
        <w:rPr>
          <w:rFonts w:hint="eastAsia" w:ascii="仿宋" w:hAnsi="仿宋" w:eastAsia="仿宋" w:cs="仿宋"/>
          <w:sz w:val="30"/>
          <w:szCs w:val="30"/>
        </w:rPr>
        <w:t>.汽车钣金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使学生掌握车身部件拆装与调整方法、钣金修复工艺、车身变形量的调整、焊接基本操作技术等。养成良好的职业素质，培养现在汽车维修行业所需求的汽车涂装人才，能规范、准确、熟练地完成汽车涂装的各项任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0</w:t>
      </w:r>
      <w:r>
        <w:rPr>
          <w:rFonts w:hint="eastAsia" w:ascii="仿宋" w:hAnsi="仿宋" w:eastAsia="仿宋" w:cs="仿宋"/>
          <w:sz w:val="30"/>
          <w:szCs w:val="30"/>
        </w:rPr>
        <w:t>.汽车营销与服务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主要内容包括市场营销基础知识、营销人员礼仪规范、汽车工业与汽车市场、汽车市场营销调研与市场预测、汽车整车销售与定价促销策略、汽车营销人力资源、汽车消费、汽车维修业务和汽车配件的采购与销售等，通过本课程的学习，了解市场营销学的基本原理，学会市场细分和确定目标市场的方法，掌握汽车的产品、定价、销售渠道、促销等策略，培养汽车营销策划的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11</w:t>
      </w:r>
      <w:r>
        <w:rPr>
          <w:rFonts w:hint="eastAsia" w:ascii="仿宋" w:hAnsi="仿宋" w:eastAsia="仿宋" w:cs="仿宋"/>
          <w:sz w:val="30"/>
          <w:szCs w:val="30"/>
        </w:rPr>
        <w:t>.汽车涂装</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通过本课程的学习，培养学生车身修复的职业技能，培养现在汽车维修行业所需求的汽车涂装人才，培养良好的职业素养，能规范、准确、熟练地完成汽车涂装的各项任务。</w:t>
      </w:r>
    </w:p>
    <w:p>
      <w:pPr>
        <w:spacing w:line="560" w:lineRule="exact"/>
        <w:ind w:firstLine="560" w:firstLineChars="200"/>
        <w:jc w:val="center"/>
        <w:rPr>
          <w:b/>
          <w:sz w:val="28"/>
          <w:szCs w:val="28"/>
        </w:rPr>
      </w:pPr>
      <w:r>
        <w:rPr>
          <w:rFonts w:hint="eastAsia"/>
          <w:b/>
          <w:sz w:val="28"/>
          <w:szCs w:val="28"/>
        </w:rPr>
        <w:t>专业课程设置及学时分配</w:t>
      </w:r>
    </w:p>
    <w:tbl>
      <w:tblPr>
        <w:tblStyle w:val="1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265"/>
        <w:gridCol w:w="633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2265"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330"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810"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汽车发动机结构与拆装</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了解汽车发动机的总体结构，全面掌握汽车发动机各组成系统的作用、结构、工作原理，使学生掌握正确拆装发动机各机构配件的能力，加强学生独立分析和解决问题的能力和创新能力，为从事汽车维修行业打下良好的基础。</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汽车底盘结构与拆装</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本课程理论性和实践性都较强，主要以底盘结构的基本理论为基础，融合了底盘各系统的基本知识和拆装流程，培养学生具备汽车底盘各部件正确拆装和检修的基本知识和基本技能。使学生掌握汽车底盘修理的操作技能、技巧，能正确使用机、工、量具；是汽车专业的基础课程，是学习后续专业核心课程的重要基础。</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汽车电工电子基础</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汽车基本电路及电子电路概念、基本理论和基本分析方法，掌握安全用电常识，掌握电气测量技术的基本原理和方法，熟练使用万用表等常用电工仪器，为学习后续课程打下坚实的理论及技能基础，为提高学生各专门化的职业能力奠定良好的基础。</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汽车车身电气设备检修</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具有汽车电气设备的基本知识和汽车电气设备维修的基本技能。通过理论教学和实践技能训练，使学生系统掌握汽车电气设备的结构、基本工作原理、使用和维修、检测和调试、故障诊断与排除等基本知识和基本技能；同时掌握汽车空调的基本组成、原理及维修检测方法。</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汽车定期维护</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掌握常见汽车故障、维护保养内容和方法的基本知识，初步具有汽车全面的维护与保养能力，具备正确使用汽车维护作业中常用设备、工具、量具、仪器仪表的能力量具、仪器仪表的能力。</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汽车发动机控制系统检修</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掌握汽车发动机电控系统的基本构成、原理认识，掌握故障诊断策略和故障诊断流程，并能熟练利用现代诊疗和检测设备进行综合故障诊疗、分析，具备故障诊断和零部件检测、维修和更换等专业能力。</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4</w:t>
            </w:r>
            <w:r>
              <w:rPr>
                <w:rFonts w:hint="eastAsia" w:ascii="宋体" w:hAnsi="宋体" w:eastAsia="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汽车发动机机械检修</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培养学生对汽车发动机各组成系统拆装、检修与调整、更换的能力，使学生能达到汽车维修高级工有关发动机检修的技能标准和规范要求，能适应汽车维修工作和服务接待工作的工作要求。具备阅读汽车维修设备使用说明书和汽车维修技术资料的能力。</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汽车底盘电控技术</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包括汽车传动及控制系统检修、汽车行驶与转向及控制系统检修、汽车制动及控制系统检修等内容。掌握汽车底盘电子控制技术原理、诊断与检修的基础知识和技能，能够从事汽车底盘及控制系统的维修与检测、维修设备的使用、维护保养和生产技术管理工作。同时培养学生的实际动手能力，提高分析和解决问题的能力，为今后职业岗位工作打好基础。</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汽车钣金</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掌握车身部件拆装与调整方法、钣金修复工艺、车身变形量的调整、焊接基本操作技术等。养成良好的职业素质，培养现在汽车维修行业所需求的汽车钣金人才，能规范、准确、熟练地完成汽车修复的各项任务。</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汽车营销与服务</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掌握常见汽车及发展历程，了解国内外著名汽车品牌及发展情况，掌握汽车常见车标车型，掌握常见汽车相关的知识及赛事，能通过课后练习及作业提高自主学习及思考能力。</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70" w:type="dxa"/>
            <w:tcBorders>
              <w:top w:val="single" w:color="auto" w:sz="8" w:space="0"/>
              <w:left w:val="single" w:color="auto" w:sz="8" w:space="0"/>
              <w:bottom w:val="single" w:color="auto" w:sz="4" w:space="0"/>
              <w:right w:val="single" w:color="auto" w:sz="4" w:space="0"/>
            </w:tcBorders>
            <w:vAlign w:val="center"/>
          </w:tcPr>
          <w:p>
            <w:pPr>
              <w:pStyle w:val="62"/>
              <w:spacing w:line="24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2265" w:type="dxa"/>
            <w:tcBorders>
              <w:top w:val="single" w:color="auto" w:sz="8" w:space="0"/>
              <w:left w:val="single" w:color="auto" w:sz="4" w:space="0"/>
              <w:bottom w:val="single" w:color="auto" w:sz="4" w:space="0"/>
              <w:right w:val="single" w:color="auto" w:sz="4" w:space="0"/>
            </w:tcBorders>
            <w:vAlign w:val="center"/>
          </w:tcPr>
          <w:p>
            <w:pPr>
              <w:spacing w:line="240" w:lineRule="exact"/>
              <w:ind w:firstLine="0"/>
              <w:jc w:val="center"/>
              <w:rPr>
                <w:rFonts w:hint="eastAsia" w:ascii="宋体" w:hAnsi="宋体" w:eastAsia="宋体" w:cs="宋体"/>
                <w:snapToGrid/>
                <w:kern w:val="0"/>
                <w:sz w:val="18"/>
                <w:szCs w:val="18"/>
              </w:rPr>
            </w:pPr>
            <w:r>
              <w:rPr>
                <w:rFonts w:hint="eastAsia" w:ascii="宋体" w:hAnsi="宋体" w:eastAsia="宋体" w:cs="宋体"/>
                <w:snapToGrid/>
                <w:kern w:val="0"/>
                <w:sz w:val="18"/>
                <w:szCs w:val="18"/>
              </w:rPr>
              <w:t>汽车涂装</w:t>
            </w:r>
          </w:p>
        </w:tc>
        <w:tc>
          <w:tcPr>
            <w:tcW w:w="6330" w:type="dxa"/>
            <w:tcBorders>
              <w:top w:val="single" w:color="auto" w:sz="8" w:space="0"/>
              <w:left w:val="single" w:color="auto" w:sz="4" w:space="0"/>
              <w:bottom w:val="single" w:color="auto" w:sz="4" w:space="0"/>
              <w:right w:val="single" w:color="auto" w:sz="4" w:space="0"/>
            </w:tcBorders>
          </w:tcPr>
          <w:p>
            <w:pPr>
              <w:pStyle w:val="62"/>
              <w:spacing w:line="240" w:lineRule="auto"/>
              <w:jc w:val="left"/>
              <w:rPr>
                <w:rFonts w:hint="eastAsia" w:ascii="宋体" w:hAnsi="宋体" w:eastAsia="宋体" w:cs="宋体"/>
                <w:sz w:val="21"/>
                <w:szCs w:val="21"/>
              </w:rPr>
            </w:pPr>
            <w:r>
              <w:rPr>
                <w:rFonts w:hint="eastAsia" w:ascii="宋体" w:hAnsi="宋体" w:eastAsia="宋体" w:cs="宋体"/>
                <w:sz w:val="21"/>
                <w:szCs w:val="21"/>
              </w:rPr>
              <w:t>培养学生车身修复的职业技能，培养现在汽车维修行业所需求的汽车涂装人才，培养良好的职业素养，能规范、准确、熟练地完成汽车涂装的各项任务。</w:t>
            </w:r>
          </w:p>
        </w:tc>
        <w:tc>
          <w:tcPr>
            <w:tcW w:w="810" w:type="dxa"/>
            <w:tcBorders>
              <w:top w:val="single" w:color="auto" w:sz="8" w:space="0"/>
              <w:left w:val="single" w:color="auto" w:sz="4" w:space="0"/>
              <w:bottom w:val="single" w:color="auto" w:sz="4" w:space="0"/>
              <w:right w:val="single" w:color="auto" w:sz="8" w:space="0"/>
            </w:tcBorders>
            <w:vAlign w:val="center"/>
          </w:tcPr>
          <w:p>
            <w:pPr>
              <w:pStyle w:val="62"/>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bl>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七、教学进程总体安排</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spacing w:line="560" w:lineRule="exact"/>
        <w:ind w:left="0" w:leftChars="0" w:firstLine="600" w:firstLineChars="200"/>
        <w:rPr>
          <w:rFonts w:hint="eastAsia" w:ascii="楷体" w:hAnsi="楷体" w:eastAsia="楷体" w:cs="楷体"/>
          <w:sz w:val="30"/>
          <w:szCs w:val="30"/>
        </w:rPr>
      </w:pPr>
    </w:p>
    <w:p>
      <w:pPr>
        <w:spacing w:line="560" w:lineRule="exact"/>
        <w:ind w:left="0" w:leftChars="0" w:firstLine="600" w:firstLineChars="200"/>
        <w:rPr>
          <w:rFonts w:ascii="楷体" w:hAnsi="楷体" w:eastAsia="楷体" w:cs="楷体"/>
          <w:sz w:val="30"/>
          <w:szCs w:val="30"/>
        </w:rPr>
      </w:pPr>
      <w:r>
        <w:rPr>
          <w:rFonts w:hint="eastAsia" w:ascii="楷体" w:hAnsi="楷体" w:eastAsia="楷体" w:cs="楷体"/>
          <w:sz w:val="30"/>
          <w:szCs w:val="30"/>
        </w:rPr>
        <w:t>2.教学进度计划安排表</w:t>
      </w:r>
    </w:p>
    <w:tbl>
      <w:tblPr>
        <w:tblStyle w:val="19"/>
        <w:tblW w:w="9747" w:type="dxa"/>
        <w:tblInd w:w="108" w:type="dxa"/>
        <w:tblLayout w:type="fixed"/>
        <w:tblCellMar>
          <w:top w:w="0" w:type="dxa"/>
          <w:left w:w="108" w:type="dxa"/>
          <w:bottom w:w="0" w:type="dxa"/>
          <w:right w:w="108" w:type="dxa"/>
        </w:tblCellMar>
      </w:tblPr>
      <w:tblGrid>
        <w:gridCol w:w="462"/>
        <w:gridCol w:w="465"/>
        <w:gridCol w:w="2205"/>
        <w:gridCol w:w="584"/>
        <w:gridCol w:w="576"/>
        <w:gridCol w:w="498"/>
        <w:gridCol w:w="597"/>
        <w:gridCol w:w="597"/>
        <w:gridCol w:w="597"/>
        <w:gridCol w:w="597"/>
        <w:gridCol w:w="457"/>
        <w:gridCol w:w="458"/>
        <w:gridCol w:w="897"/>
        <w:gridCol w:w="757"/>
      </w:tblGrid>
      <w:tr>
        <w:tblPrEx>
          <w:tblCellMar>
            <w:top w:w="0" w:type="dxa"/>
            <w:left w:w="108" w:type="dxa"/>
            <w:bottom w:w="0" w:type="dxa"/>
            <w:right w:w="108" w:type="dxa"/>
          </w:tblCellMar>
        </w:tblPrEx>
        <w:trPr>
          <w:trHeight w:val="430" w:hRule="atLeast"/>
        </w:trPr>
        <w:tc>
          <w:tcPr>
            <w:tcW w:w="9747" w:type="dxa"/>
            <w:gridSpan w:val="14"/>
            <w:tcBorders>
              <w:top w:val="nil"/>
              <w:left w:val="nil"/>
              <w:bottom w:val="single" w:color="auto" w:sz="4" w:space="0"/>
              <w:right w:val="nil"/>
            </w:tcBorders>
            <w:shd w:val="clear" w:color="auto" w:fill="auto"/>
            <w:noWrap/>
            <w:vAlign w:val="center"/>
          </w:tcPr>
          <w:p>
            <w:pPr>
              <w:widowControl/>
              <w:topLinePunct w:val="0"/>
              <w:adjustRightInd/>
              <w:snapToGrid/>
              <w:spacing w:line="560" w:lineRule="exact"/>
              <w:ind w:firstLine="0"/>
              <w:jc w:val="center"/>
              <w:rPr>
                <w:rFonts w:ascii="黑体" w:hAnsi="黑体" w:eastAsia="黑体" w:cs="宋体"/>
                <w:b/>
                <w:bCs/>
                <w:snapToGrid/>
                <w:kern w:val="0"/>
                <w:sz w:val="32"/>
                <w:szCs w:val="32"/>
              </w:rPr>
            </w:pPr>
            <w:r>
              <w:rPr>
                <w:rFonts w:hint="eastAsia" w:ascii="楷体" w:hAnsi="楷体" w:eastAsia="楷体" w:cs="楷体"/>
                <w:sz w:val="30"/>
                <w:szCs w:val="30"/>
              </w:rPr>
              <w:t>汽车运用与维修专业教学进程计划</w:t>
            </w:r>
          </w:p>
        </w:tc>
      </w:tr>
      <w:tr>
        <w:tblPrEx>
          <w:tblCellMar>
            <w:top w:w="0" w:type="dxa"/>
            <w:left w:w="108" w:type="dxa"/>
            <w:bottom w:w="0" w:type="dxa"/>
            <w:right w:w="108" w:type="dxa"/>
          </w:tblCellMar>
        </w:tblPrEx>
        <w:trPr>
          <w:trHeight w:val="340" w:hRule="atLeast"/>
        </w:trPr>
        <w:tc>
          <w:tcPr>
            <w:tcW w:w="927" w:type="dxa"/>
            <w:gridSpan w:val="2"/>
            <w:tcBorders>
              <w:top w:val="nil"/>
              <w:left w:val="single" w:color="auto" w:sz="4" w:space="0"/>
              <w:bottom w:val="single" w:color="auto" w:sz="4" w:space="0"/>
              <w:right w:val="single" w:color="000000"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专业：</w:t>
            </w:r>
          </w:p>
        </w:tc>
        <w:tc>
          <w:tcPr>
            <w:tcW w:w="2205"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汽车运用与维修</w:t>
            </w:r>
          </w:p>
        </w:tc>
        <w:tc>
          <w:tcPr>
            <w:tcW w:w="1658" w:type="dxa"/>
            <w:gridSpan w:val="3"/>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学制：三年</w:t>
            </w:r>
          </w:p>
        </w:tc>
        <w:tc>
          <w:tcPr>
            <w:tcW w:w="4957" w:type="dxa"/>
            <w:gridSpan w:val="8"/>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起点：初中</w:t>
            </w:r>
          </w:p>
        </w:tc>
      </w:tr>
      <w:tr>
        <w:tblPrEx>
          <w:tblCellMar>
            <w:top w:w="0" w:type="dxa"/>
            <w:left w:w="108" w:type="dxa"/>
            <w:bottom w:w="0" w:type="dxa"/>
            <w:right w:w="108" w:type="dxa"/>
          </w:tblCellMar>
        </w:tblPrEx>
        <w:trPr>
          <w:trHeight w:val="340" w:hRule="atLeast"/>
        </w:trPr>
        <w:tc>
          <w:tcPr>
            <w:tcW w:w="462"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课程模块</w:t>
            </w:r>
          </w:p>
        </w:tc>
        <w:tc>
          <w:tcPr>
            <w:tcW w:w="465"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序 号</w:t>
            </w:r>
          </w:p>
        </w:tc>
        <w:tc>
          <w:tcPr>
            <w:tcW w:w="220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课程名称</w:t>
            </w:r>
          </w:p>
        </w:tc>
        <w:tc>
          <w:tcPr>
            <w:tcW w:w="58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总学时</w:t>
            </w:r>
          </w:p>
        </w:tc>
        <w:tc>
          <w:tcPr>
            <w:tcW w:w="1074" w:type="dxa"/>
            <w:gridSpan w:val="2"/>
            <w:tcBorders>
              <w:top w:val="single" w:color="auto" w:sz="4" w:space="0"/>
              <w:left w:val="nil"/>
              <w:bottom w:val="nil"/>
              <w:right w:val="nil"/>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学时分配</w:t>
            </w:r>
          </w:p>
        </w:tc>
        <w:tc>
          <w:tcPr>
            <w:tcW w:w="330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各学期学时分配（周学时）</w:t>
            </w:r>
          </w:p>
        </w:tc>
        <w:tc>
          <w:tcPr>
            <w:tcW w:w="897" w:type="dxa"/>
            <w:vMerge w:val="restart"/>
            <w:tcBorders>
              <w:top w:val="nil"/>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专业核心课（是/否）</w:t>
            </w:r>
          </w:p>
        </w:tc>
        <w:tc>
          <w:tcPr>
            <w:tcW w:w="757" w:type="dxa"/>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考查与考试学期</w:t>
            </w:r>
          </w:p>
        </w:tc>
      </w:tr>
      <w:tr>
        <w:tblPrEx>
          <w:tblCellMar>
            <w:top w:w="0" w:type="dxa"/>
            <w:left w:w="108" w:type="dxa"/>
            <w:bottom w:w="0" w:type="dxa"/>
            <w:right w:w="108" w:type="dxa"/>
          </w:tblCellMar>
        </w:tblPrEx>
        <w:trPr>
          <w:trHeight w:val="340" w:hRule="atLeast"/>
        </w:trPr>
        <w:tc>
          <w:tcPr>
            <w:tcW w:w="46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465"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2205"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84"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理</w:t>
            </w:r>
          </w:p>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论</w:t>
            </w:r>
          </w:p>
        </w:tc>
        <w:tc>
          <w:tcPr>
            <w:tcW w:w="49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实</w:t>
            </w:r>
          </w:p>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践</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一</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二</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三</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四</w:t>
            </w:r>
          </w:p>
        </w:tc>
        <w:tc>
          <w:tcPr>
            <w:tcW w:w="4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五</w:t>
            </w:r>
          </w:p>
        </w:tc>
        <w:tc>
          <w:tcPr>
            <w:tcW w:w="45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六</w:t>
            </w:r>
          </w:p>
        </w:tc>
        <w:tc>
          <w:tcPr>
            <w:tcW w:w="89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5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r>
      <w:tr>
        <w:tblPrEx>
          <w:tblCellMar>
            <w:top w:w="0" w:type="dxa"/>
            <w:left w:w="108" w:type="dxa"/>
            <w:bottom w:w="0" w:type="dxa"/>
            <w:right w:w="108" w:type="dxa"/>
          </w:tblCellMar>
        </w:tblPrEx>
        <w:trPr>
          <w:trHeight w:val="340" w:hRule="atLeast"/>
        </w:trPr>
        <w:tc>
          <w:tcPr>
            <w:tcW w:w="46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465"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2205"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84"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76"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498"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89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5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r>
      <w:tr>
        <w:tblPrEx>
          <w:tblCellMar>
            <w:top w:w="0" w:type="dxa"/>
            <w:left w:w="108" w:type="dxa"/>
            <w:bottom w:w="0" w:type="dxa"/>
            <w:right w:w="108" w:type="dxa"/>
          </w:tblCellMar>
        </w:tblPrEx>
        <w:trPr>
          <w:trHeight w:val="370" w:hRule="atLeast"/>
        </w:trPr>
        <w:tc>
          <w:tcPr>
            <w:tcW w:w="462"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20"/>
                <w:szCs w:val="20"/>
              </w:rPr>
            </w:pPr>
            <w:r>
              <w:rPr>
                <w:rFonts w:hint="eastAsia" w:ascii="宋体" w:hAnsi="宋体" w:cs="宋体"/>
                <w:snapToGrid/>
                <w:kern w:val="0"/>
                <w:sz w:val="20"/>
                <w:szCs w:val="20"/>
              </w:rPr>
              <w:t>公共基础课</w:t>
            </w: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国防教育</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120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restart"/>
            <w:tcBorders>
              <w:top w:val="single" w:color="auto" w:sz="4" w:space="0"/>
              <w:left w:val="single" w:color="auto" w:sz="4" w:space="0"/>
              <w:bottom w:val="nil"/>
              <w:right w:val="single" w:color="000000" w:sz="4" w:space="0"/>
            </w:tcBorders>
            <w:shd w:val="clear" w:color="auto" w:fill="auto"/>
            <w:noWrap/>
            <w:textDirection w:val="tbRlV"/>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顶岗实习</w:t>
            </w: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军训</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劳动教育</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rPr>
              <w:t>4</w:t>
            </w:r>
            <w:r>
              <w:rPr>
                <w:rFonts w:hint="eastAsia" w:ascii="宋体" w:hAnsi="宋体" w:cs="宋体"/>
                <w:snapToGrid/>
                <w:kern w:val="0"/>
                <w:sz w:val="18"/>
                <w:szCs w:val="18"/>
                <w:lang w:val="en-US" w:eastAsia="zh-CN"/>
              </w:rPr>
              <w:t>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劳动周</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3</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z w:val="18"/>
                <w:szCs w:val="18"/>
              </w:rPr>
              <w:t>中国特色社会主义</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z w:val="18"/>
                <w:szCs w:val="18"/>
              </w:rPr>
              <w:t>心理健康与职业生涯</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5</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z w:val="18"/>
                <w:szCs w:val="18"/>
              </w:rPr>
              <w:t>哲学与人生</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6</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z w:val="18"/>
                <w:szCs w:val="18"/>
              </w:rPr>
              <w:t>职业道德与法治</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7</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语文</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1-3</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应用文写作</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9</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数学</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10</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英语</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11</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体育与健康</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160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r>
              <w:rPr>
                <w:rFonts w:ascii="宋体" w:hAnsi="宋体" w:cs="宋体"/>
                <w:snapToGrid/>
                <w:kern w:val="0"/>
                <w:sz w:val="18"/>
                <w:szCs w:val="18"/>
              </w:rPr>
              <w:t>60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1-4</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12</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历史</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13</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信息技术</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160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3、4</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14</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礼仪</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15</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书法</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46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16</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r>
              <w:rPr>
                <w:rFonts w:hint="eastAsia" w:ascii="宋体" w:hAnsi="宋体" w:cs="宋体"/>
                <w:snapToGrid/>
                <w:kern w:val="0"/>
                <w:sz w:val="18"/>
                <w:szCs w:val="18"/>
              </w:rPr>
              <w:t>普通话</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选修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7" w:hRule="atLeast"/>
        </w:trPr>
        <w:tc>
          <w:tcPr>
            <w:tcW w:w="462" w:type="dxa"/>
            <w:vMerge w:val="restart"/>
            <w:tcBorders>
              <w:top w:val="nil"/>
              <w:left w:val="single" w:color="auto" w:sz="4" w:space="0"/>
              <w:right w:val="single" w:color="auto" w:sz="4" w:space="0"/>
            </w:tcBorders>
            <w:shd w:val="clear" w:color="auto" w:fill="auto"/>
            <w:noWrap/>
            <w:textDirection w:val="tbRlV"/>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20"/>
                <w:szCs w:val="20"/>
              </w:rPr>
            </w:pPr>
            <w:r>
              <w:rPr>
                <w:rFonts w:hint="eastAsia" w:ascii="宋体" w:hAnsi="宋体" w:cs="宋体"/>
                <w:snapToGrid/>
                <w:kern w:val="0"/>
                <w:sz w:val="20"/>
                <w:szCs w:val="20"/>
              </w:rPr>
              <w:t>专业基础课程</w:t>
            </w: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r>
              <w:rPr>
                <w:rFonts w:ascii="宋体" w:hAnsi="宋体" w:cs="宋体"/>
                <w:snapToGrid/>
                <w:kern w:val="0"/>
                <w:sz w:val="18"/>
                <w:szCs w:val="18"/>
              </w:rPr>
              <w:t>7</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汽车发动机结构与拆装</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160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77" w:hRule="atLeast"/>
        </w:trPr>
        <w:tc>
          <w:tcPr>
            <w:tcW w:w="46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r>
              <w:rPr>
                <w:rFonts w:ascii="宋体" w:hAnsi="宋体" w:cs="宋体"/>
                <w:snapToGrid/>
                <w:kern w:val="0"/>
                <w:sz w:val="18"/>
                <w:szCs w:val="18"/>
              </w:rPr>
              <w:t>8</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汽车底盘结构与拆装</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160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915" w:type="dxa"/>
            <w:gridSpan w:val="2"/>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522" w:hRule="atLeast"/>
        </w:trPr>
        <w:tc>
          <w:tcPr>
            <w:tcW w:w="46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19</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汽车电工电子基础</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60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3</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1</w:t>
            </w:r>
          </w:p>
        </w:tc>
      </w:tr>
      <w:tr>
        <w:tblPrEx>
          <w:tblCellMar>
            <w:top w:w="0" w:type="dxa"/>
            <w:left w:w="108" w:type="dxa"/>
            <w:bottom w:w="0" w:type="dxa"/>
            <w:right w:w="108" w:type="dxa"/>
          </w:tblCellMar>
        </w:tblPrEx>
        <w:trPr>
          <w:trHeight w:val="438" w:hRule="atLeast"/>
        </w:trPr>
        <w:tc>
          <w:tcPr>
            <w:tcW w:w="462" w:type="dxa"/>
            <w:vMerge w:val="restart"/>
            <w:tcBorders>
              <w:top w:val="nil"/>
              <w:left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90" w:lineRule="exact"/>
              <w:ind w:left="113" w:right="113" w:firstLine="0"/>
              <w:jc w:val="center"/>
              <w:textAlignment w:val="auto"/>
              <w:rPr>
                <w:rFonts w:ascii="宋体" w:hAnsi="宋体" w:cs="宋体"/>
                <w:snapToGrid/>
                <w:kern w:val="0"/>
                <w:sz w:val="20"/>
                <w:szCs w:val="20"/>
              </w:rPr>
            </w:pPr>
            <w:r>
              <w:rPr>
                <w:rFonts w:hint="eastAsia" w:ascii="宋体" w:hAnsi="宋体" w:cs="宋体"/>
                <w:snapToGrid/>
                <w:kern w:val="0"/>
                <w:sz w:val="20"/>
                <w:szCs w:val="20"/>
              </w:rPr>
              <w:t>核心</w:t>
            </w:r>
            <w:bookmarkStart w:id="0" w:name="_GoBack"/>
            <w:bookmarkEnd w:id="0"/>
            <w:r>
              <w:rPr>
                <w:rFonts w:hint="eastAsia" w:ascii="宋体" w:hAnsi="宋体" w:cs="宋体"/>
                <w:snapToGrid/>
                <w:kern w:val="0"/>
                <w:sz w:val="20"/>
                <w:szCs w:val="20"/>
              </w:rPr>
              <w:t>专业课程</w:t>
            </w: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汽车车身电气设备检修</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180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r>
              <w:rPr>
                <w:rFonts w:ascii="宋体" w:hAnsi="宋体" w:cs="宋体"/>
                <w:snapToGrid/>
                <w:kern w:val="0"/>
                <w:sz w:val="18"/>
                <w:szCs w:val="18"/>
              </w:rPr>
              <w:t>00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5</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核心课</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2</w:t>
            </w:r>
            <w:r>
              <w:rPr>
                <w:rFonts w:hint="eastAsia" w:ascii="宋体" w:hAnsi="宋体" w:cs="宋体"/>
                <w:snapToGrid/>
                <w:kern w:val="0"/>
                <w:sz w:val="18"/>
                <w:szCs w:val="18"/>
              </w:rPr>
              <w:t>、3</w:t>
            </w:r>
          </w:p>
        </w:tc>
      </w:tr>
      <w:tr>
        <w:tblPrEx>
          <w:tblCellMar>
            <w:top w:w="0" w:type="dxa"/>
            <w:left w:w="108" w:type="dxa"/>
            <w:bottom w:w="0" w:type="dxa"/>
            <w:right w:w="108" w:type="dxa"/>
          </w:tblCellMar>
        </w:tblPrEx>
        <w:trPr>
          <w:trHeight w:val="438" w:hRule="atLeast"/>
        </w:trPr>
        <w:tc>
          <w:tcPr>
            <w:tcW w:w="462" w:type="dxa"/>
            <w:vMerge w:val="continue"/>
            <w:tcBorders>
              <w:left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90" w:lineRule="exact"/>
              <w:ind w:left="113" w:right="113"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1</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汽车定期维护</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核心课</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3</w:t>
            </w:r>
          </w:p>
        </w:tc>
      </w:tr>
      <w:tr>
        <w:tblPrEx>
          <w:tblCellMar>
            <w:top w:w="0" w:type="dxa"/>
            <w:left w:w="108" w:type="dxa"/>
            <w:bottom w:w="0" w:type="dxa"/>
            <w:right w:w="108" w:type="dxa"/>
          </w:tblCellMar>
        </w:tblPrEx>
        <w:trPr>
          <w:trHeight w:val="438" w:hRule="atLeast"/>
        </w:trPr>
        <w:tc>
          <w:tcPr>
            <w:tcW w:w="462" w:type="dxa"/>
            <w:vMerge w:val="continue"/>
            <w:tcBorders>
              <w:left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90" w:lineRule="exact"/>
              <w:ind w:left="113" w:right="113"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2</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汽车发动机控制系统检修</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24</w:t>
            </w:r>
            <w:r>
              <w:rPr>
                <w:rFonts w:hint="eastAsia" w:ascii="宋体" w:hAnsi="宋体" w:cs="宋体"/>
                <w:snapToGrid/>
                <w:kern w:val="0"/>
                <w:sz w:val="18"/>
                <w:szCs w:val="18"/>
              </w:rPr>
              <w:t>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r>
              <w:rPr>
                <w:rFonts w:ascii="宋体" w:hAnsi="宋体" w:cs="宋体"/>
                <w:snapToGrid/>
                <w:kern w:val="0"/>
                <w:sz w:val="18"/>
                <w:szCs w:val="18"/>
              </w:rPr>
              <w:t>20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1</w:t>
            </w:r>
            <w:r>
              <w:rPr>
                <w:rFonts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6</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6</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核心课</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3、4</w:t>
            </w:r>
          </w:p>
        </w:tc>
      </w:tr>
      <w:tr>
        <w:tblPrEx>
          <w:tblCellMar>
            <w:top w:w="0" w:type="dxa"/>
            <w:left w:w="108" w:type="dxa"/>
            <w:bottom w:w="0" w:type="dxa"/>
            <w:right w:w="108" w:type="dxa"/>
          </w:tblCellMar>
        </w:tblPrEx>
        <w:trPr>
          <w:trHeight w:val="377" w:hRule="atLeast"/>
        </w:trPr>
        <w:tc>
          <w:tcPr>
            <w:tcW w:w="46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3</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汽车发动机机械检修</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核心课</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r>
      <w:tr>
        <w:tblPrEx>
          <w:tblCellMar>
            <w:top w:w="0" w:type="dxa"/>
            <w:left w:w="108" w:type="dxa"/>
            <w:bottom w:w="0" w:type="dxa"/>
            <w:right w:w="108" w:type="dxa"/>
          </w:tblCellMar>
        </w:tblPrEx>
        <w:trPr>
          <w:trHeight w:val="377" w:hRule="atLeast"/>
        </w:trPr>
        <w:tc>
          <w:tcPr>
            <w:tcW w:w="46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4</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汽车底盘电控技术</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80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r>
              <w:rPr>
                <w:rFonts w:ascii="宋体" w:hAnsi="宋体" w:cs="宋体"/>
                <w:snapToGrid/>
                <w:kern w:val="0"/>
                <w:sz w:val="18"/>
                <w:szCs w:val="18"/>
              </w:rPr>
              <w:t>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核心课</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w:t>
            </w:r>
          </w:p>
        </w:tc>
      </w:tr>
      <w:tr>
        <w:tblPrEx>
          <w:tblCellMar>
            <w:top w:w="0" w:type="dxa"/>
            <w:left w:w="108" w:type="dxa"/>
            <w:bottom w:w="0" w:type="dxa"/>
            <w:right w:w="108" w:type="dxa"/>
          </w:tblCellMar>
        </w:tblPrEx>
        <w:trPr>
          <w:trHeight w:val="377" w:hRule="atLeast"/>
        </w:trPr>
        <w:tc>
          <w:tcPr>
            <w:tcW w:w="46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5</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汽车钣金</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核心课</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7" w:hRule="atLeast"/>
        </w:trPr>
        <w:tc>
          <w:tcPr>
            <w:tcW w:w="462" w:type="dxa"/>
            <w:vMerge w:val="continue"/>
            <w:tcBorders>
              <w:left w:val="single" w:color="auto" w:sz="4" w:space="0"/>
              <w:right w:val="single" w:color="auto"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6</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汽车营销与服务</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4</w:t>
            </w:r>
            <w:r>
              <w:rPr>
                <w:rFonts w:hint="eastAsia" w:ascii="宋体" w:hAnsi="宋体" w:cs="宋体"/>
                <w:snapToGrid/>
                <w:kern w:val="0"/>
                <w:sz w:val="18"/>
                <w:szCs w:val="18"/>
              </w:rPr>
              <w:t>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核心课</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7" w:hRule="atLeast"/>
        </w:trPr>
        <w:tc>
          <w:tcPr>
            <w:tcW w:w="462"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20"/>
                <w:szCs w:val="20"/>
              </w:rPr>
            </w:pPr>
          </w:p>
        </w:tc>
        <w:tc>
          <w:tcPr>
            <w:tcW w:w="4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7</w:t>
            </w:r>
          </w:p>
        </w:tc>
        <w:tc>
          <w:tcPr>
            <w:tcW w:w="2205"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autoSpaceDE/>
              <w:autoSpaceDN/>
              <w:bidi w:val="0"/>
              <w:spacing w:line="390" w:lineRule="exact"/>
              <w:ind w:firstLine="0"/>
              <w:textAlignment w:val="auto"/>
              <w:rPr>
                <w:rFonts w:ascii="宋体" w:hAnsi="宋体" w:cs="宋体"/>
                <w:snapToGrid/>
                <w:kern w:val="0"/>
                <w:sz w:val="18"/>
                <w:szCs w:val="18"/>
              </w:rPr>
            </w:pPr>
            <w:r>
              <w:rPr>
                <w:rFonts w:hint="eastAsia" w:ascii="宋体" w:hAnsi="宋体" w:cs="宋体"/>
                <w:snapToGrid/>
                <w:kern w:val="0"/>
                <w:sz w:val="18"/>
                <w:szCs w:val="18"/>
              </w:rPr>
              <w:t>汽车钣涂装</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r>
              <w:rPr>
                <w:rFonts w:ascii="宋体" w:hAnsi="宋体" w:cs="宋体"/>
                <w:snapToGrid/>
                <w:kern w:val="0"/>
                <w:sz w:val="18"/>
                <w:szCs w:val="18"/>
              </w:rPr>
              <w:t>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left"/>
              <w:textAlignment w:val="auto"/>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核心课</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4" w:hRule="atLeast"/>
        </w:trPr>
        <w:tc>
          <w:tcPr>
            <w:tcW w:w="31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总   学  时</w:t>
            </w:r>
          </w:p>
        </w:tc>
        <w:tc>
          <w:tcPr>
            <w:tcW w:w="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3440</w:t>
            </w:r>
          </w:p>
        </w:tc>
        <w:tc>
          <w:tcPr>
            <w:tcW w:w="5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ascii="宋体" w:hAnsi="宋体" w:cs="宋体"/>
                <w:snapToGrid/>
                <w:kern w:val="0"/>
                <w:sz w:val="18"/>
                <w:szCs w:val="18"/>
              </w:rPr>
              <w:t>1440</w:t>
            </w:r>
          </w:p>
        </w:tc>
        <w:tc>
          <w:tcPr>
            <w:tcW w:w="49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8</w:t>
            </w:r>
            <w:r>
              <w:rPr>
                <w:rFonts w:ascii="宋体" w:hAnsi="宋体" w:cs="宋体"/>
                <w:snapToGrid/>
                <w:kern w:val="0"/>
                <w:sz w:val="18"/>
                <w:szCs w:val="18"/>
              </w:rPr>
              <w:t>00</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28</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30</w:t>
            </w:r>
          </w:p>
        </w:tc>
        <w:tc>
          <w:tcPr>
            <w:tcW w:w="45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30</w:t>
            </w:r>
          </w:p>
        </w:tc>
        <w:tc>
          <w:tcPr>
            <w:tcW w:w="897" w:type="dxa"/>
            <w:tcBorders>
              <w:top w:val="nil"/>
              <w:left w:val="nil"/>
              <w:bottom w:val="single" w:color="auto" w:sz="4" w:space="0"/>
              <w:right w:val="single" w:color="auto" w:sz="4" w:space="0"/>
            </w:tcBorders>
            <w:shd w:val="clear" w:color="auto" w:fill="auto"/>
            <w:noWrap/>
            <w:textDirection w:val="tbRlV"/>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c>
          <w:tcPr>
            <w:tcW w:w="75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90" w:lineRule="exact"/>
              <w:ind w:firstLine="0"/>
              <w:jc w:val="center"/>
              <w:textAlignment w:val="auto"/>
              <w:rPr>
                <w:rFonts w:ascii="宋体" w:hAnsi="宋体" w:cs="宋体"/>
                <w:snapToGrid/>
                <w:kern w:val="0"/>
                <w:sz w:val="18"/>
                <w:szCs w:val="18"/>
              </w:rPr>
            </w:pPr>
            <w:r>
              <w:rPr>
                <w:rFonts w:hint="eastAsia" w:ascii="宋体" w:hAnsi="宋体" w:cs="宋体"/>
                <w:snapToGrid/>
                <w:kern w:val="0"/>
                <w:sz w:val="18"/>
                <w:szCs w:val="18"/>
              </w:rPr>
              <w:t>　</w:t>
            </w:r>
          </w:p>
        </w:tc>
      </w:tr>
    </w:tbl>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八、实施保障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14人，其中双师型教师应不低于80%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专业教师应具备良好的师德和终身学习能力，具备本专业或相近专业本科以上学历</w:t>
      </w:r>
      <w:r>
        <w:rPr>
          <w:rFonts w:ascii="仿宋" w:hAnsi="仿宋" w:eastAsia="仿宋" w:cs="仿宋"/>
          <w:sz w:val="30"/>
          <w:szCs w:val="30"/>
        </w:rPr>
        <w:t>（含本科）</w:t>
      </w:r>
      <w:r>
        <w:rPr>
          <w:rFonts w:hint="eastAsia" w:ascii="仿宋" w:hAnsi="仿宋" w:eastAsia="仿宋" w:cs="仿宋"/>
          <w:sz w:val="30"/>
          <w:szCs w:val="30"/>
        </w:rPr>
        <w:t xml:space="preserve">，或具有本专业高级以上技术资格证书。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以每年招收6个班为基数，本专业的教师人数应不少于14人，其中专职教师应不少于14人，教师数与学生数之比应大于1:20，专职教师中具有中级以上职称教师人数不低于40%，高级职称人数不低于15%。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w:t>
      </w:r>
      <w:r>
        <w:rPr>
          <w:rFonts w:hint="eastAsia" w:ascii="仿宋" w:hAnsi="仿宋" w:eastAsia="仿宋" w:cs="仿宋"/>
          <w:sz w:val="30"/>
          <w:szCs w:val="30"/>
        </w:rPr>
        <w:t>每年至少有一定数量的专业教师进行相应的专业实践。</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训实习室和校外实训基地。校内应具备发动机拆装实训室、汽车底盘实训室、汽车电气实训室、汽车电控实训室、底盘电控实训室、新能源汽车实训室、汽车维护实训室、汽车仿真实训室等。有条件时建设生产性实训基地，校企合作进行生产性实训，实训室安装多媒体教学设备。</w:t>
      </w:r>
    </w:p>
    <w:p>
      <w:pPr>
        <w:pStyle w:val="62"/>
        <w:spacing w:line="560" w:lineRule="exact"/>
        <w:ind w:firstLine="600" w:firstLineChars="200"/>
        <w:jc w:val="left"/>
        <w:rPr>
          <w:rFonts w:ascii="仿宋" w:hAnsi="仿宋" w:eastAsia="仿宋" w:cs="仿宋"/>
          <w:position w:val="0"/>
          <w:sz w:val="30"/>
          <w:szCs w:val="30"/>
        </w:rPr>
      </w:pPr>
      <w:r>
        <w:rPr>
          <w:rFonts w:hint="eastAsia" w:ascii="仿宋" w:hAnsi="仿宋" w:eastAsia="仿宋" w:cs="仿宋"/>
          <w:position w:val="0"/>
          <w:sz w:val="30"/>
          <w:szCs w:val="30"/>
        </w:rPr>
        <w:t>根据本专业人才培养目标的要求及课程设置的需要，按每班</w:t>
      </w:r>
      <w:r>
        <w:rPr>
          <w:rFonts w:ascii="仿宋" w:hAnsi="仿宋" w:eastAsia="仿宋" w:cs="仿宋"/>
          <w:position w:val="0"/>
          <w:sz w:val="30"/>
          <w:szCs w:val="30"/>
        </w:rPr>
        <w:t>40</w:t>
      </w:r>
      <w:r>
        <w:rPr>
          <w:rFonts w:hint="eastAsia" w:ascii="仿宋" w:hAnsi="仿宋" w:eastAsia="仿宋" w:cs="仿宋"/>
          <w:position w:val="0"/>
          <w:sz w:val="30"/>
          <w:szCs w:val="30"/>
        </w:rPr>
        <w:t>名学生为基准，校内实训室配置见下表：</w:t>
      </w:r>
    </w:p>
    <w:p>
      <w:pPr>
        <w:pStyle w:val="62"/>
        <w:spacing w:line="560" w:lineRule="exact"/>
        <w:jc w:val="center"/>
        <w:rPr>
          <w:rFonts w:ascii="仿宋" w:hAnsi="仿宋" w:eastAsia="仿宋" w:cs="仿宋"/>
          <w:position w:val="0"/>
          <w:sz w:val="30"/>
          <w:szCs w:val="30"/>
        </w:rPr>
      </w:pPr>
      <w:r>
        <w:rPr>
          <w:rFonts w:hint="eastAsia" w:ascii="仿宋" w:hAnsi="仿宋" w:eastAsia="仿宋" w:cs="仿宋"/>
          <w:b/>
          <w:bCs/>
          <w:position w:val="0"/>
          <w:sz w:val="30"/>
          <w:szCs w:val="30"/>
        </w:rPr>
        <w:t>校内实训室一览表</w:t>
      </w:r>
    </w:p>
    <w:tbl>
      <w:tblPr>
        <w:tblStyle w:val="19"/>
        <w:tblW w:w="9005" w:type="dxa"/>
        <w:jc w:val="center"/>
        <w:tblLayout w:type="autofit"/>
        <w:tblCellMar>
          <w:top w:w="0" w:type="dxa"/>
          <w:left w:w="108" w:type="dxa"/>
          <w:bottom w:w="0" w:type="dxa"/>
          <w:right w:w="108" w:type="dxa"/>
        </w:tblCellMar>
      </w:tblPr>
      <w:tblGrid>
        <w:gridCol w:w="648"/>
        <w:gridCol w:w="1964"/>
        <w:gridCol w:w="3122"/>
        <w:gridCol w:w="3271"/>
      </w:tblGrid>
      <w:tr>
        <w:tblPrEx>
          <w:tblCellMar>
            <w:top w:w="0" w:type="dxa"/>
            <w:left w:w="108" w:type="dxa"/>
            <w:bottom w:w="0" w:type="dxa"/>
            <w:right w:w="108" w:type="dxa"/>
          </w:tblCellMar>
        </w:tblPrEx>
        <w:trPr>
          <w:trHeight w:val="526"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序号</w:t>
            </w:r>
          </w:p>
        </w:tc>
        <w:tc>
          <w:tcPr>
            <w:tcW w:w="19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实训室名称</w:t>
            </w:r>
          </w:p>
        </w:tc>
        <w:tc>
          <w:tcPr>
            <w:tcW w:w="312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功能介绍</w:t>
            </w:r>
          </w:p>
        </w:tc>
        <w:tc>
          <w:tcPr>
            <w:tcW w:w="32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用于实训的课程名称</w:t>
            </w:r>
          </w:p>
        </w:tc>
      </w:tr>
      <w:tr>
        <w:tblPrEx>
          <w:tblCellMar>
            <w:top w:w="0" w:type="dxa"/>
            <w:left w:w="108" w:type="dxa"/>
            <w:bottom w:w="0" w:type="dxa"/>
            <w:right w:w="108" w:type="dxa"/>
          </w:tblCellMar>
        </w:tblPrEx>
        <w:trPr>
          <w:trHeight w:val="593"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1</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发动机拆装一体化实训室</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发动机构造认知、发动机拆装基础练习，汽车发动机机械系统检修实训</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发动机构造与拆装</w:t>
            </w:r>
          </w:p>
          <w:p>
            <w:pPr>
              <w:widowControl/>
              <w:spacing w:line="240" w:lineRule="auto"/>
              <w:ind w:firstLine="0"/>
              <w:jc w:val="left"/>
              <w:rPr>
                <w:rFonts w:ascii="宋体" w:hAnsi="宋体" w:cs="仿宋"/>
                <w:sz w:val="21"/>
              </w:rPr>
            </w:pPr>
            <w:r>
              <w:rPr>
                <w:rFonts w:hint="eastAsia" w:ascii="宋体" w:hAnsi="宋体" w:cs="仿宋"/>
                <w:sz w:val="21"/>
              </w:rPr>
              <w:t>汽车发动机机械检修</w:t>
            </w:r>
          </w:p>
        </w:tc>
      </w:tr>
      <w:tr>
        <w:tblPrEx>
          <w:tblCellMar>
            <w:top w:w="0" w:type="dxa"/>
            <w:left w:w="108" w:type="dxa"/>
            <w:bottom w:w="0" w:type="dxa"/>
            <w:right w:w="108" w:type="dxa"/>
          </w:tblCellMar>
        </w:tblPrEx>
        <w:trPr>
          <w:trHeight w:val="593"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2</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汽车底盘一体化实训室</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汽车底盘构造认知、变速器、转向、制动等系统拆装基础练习</w:t>
            </w:r>
          </w:p>
          <w:p>
            <w:pPr>
              <w:widowControl/>
              <w:spacing w:line="240" w:lineRule="auto"/>
              <w:ind w:firstLine="0"/>
              <w:jc w:val="left"/>
              <w:rPr>
                <w:rFonts w:ascii="宋体" w:hAnsi="宋体" w:cs="仿宋"/>
                <w:sz w:val="21"/>
              </w:rPr>
            </w:pPr>
            <w:r>
              <w:rPr>
                <w:rFonts w:hint="eastAsia" w:ascii="宋体" w:hAnsi="宋体" w:cs="仿宋"/>
                <w:sz w:val="21"/>
              </w:rPr>
              <w:t>汽车底盘电控系统认知与实训</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汽车底盘构造与拆装</w:t>
            </w:r>
          </w:p>
          <w:p>
            <w:pPr>
              <w:widowControl/>
              <w:spacing w:line="240" w:lineRule="auto"/>
              <w:ind w:firstLine="0"/>
              <w:jc w:val="left"/>
              <w:rPr>
                <w:rFonts w:ascii="宋体" w:hAnsi="宋体" w:cs="仿宋"/>
                <w:sz w:val="21"/>
              </w:rPr>
            </w:pPr>
            <w:r>
              <w:rPr>
                <w:rFonts w:hint="eastAsia" w:ascii="宋体" w:hAnsi="宋体" w:cs="仿宋"/>
                <w:sz w:val="21"/>
              </w:rPr>
              <w:t>汽车底盘电控技术</w:t>
            </w:r>
          </w:p>
        </w:tc>
      </w:tr>
      <w:tr>
        <w:tblPrEx>
          <w:tblCellMar>
            <w:top w:w="0" w:type="dxa"/>
            <w:left w:w="108" w:type="dxa"/>
            <w:bottom w:w="0" w:type="dxa"/>
            <w:right w:w="108" w:type="dxa"/>
          </w:tblCellMar>
        </w:tblPrEx>
        <w:trPr>
          <w:trHeight w:val="593"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3</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汽车电工电子一体化实训室</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满足汽车电工电子基础课程日常教学及实训</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汽车电工电子基础</w:t>
            </w:r>
          </w:p>
        </w:tc>
      </w:tr>
      <w:tr>
        <w:tblPrEx>
          <w:tblCellMar>
            <w:top w:w="0" w:type="dxa"/>
            <w:left w:w="108" w:type="dxa"/>
            <w:bottom w:w="0" w:type="dxa"/>
            <w:right w:w="108" w:type="dxa"/>
          </w:tblCellMar>
        </w:tblPrEx>
        <w:trPr>
          <w:trHeight w:val="593"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4</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汽车电器一体化实训室</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满足汽车车身电气设备的日常教学、实训</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汽车车身电气设备检修</w:t>
            </w:r>
          </w:p>
        </w:tc>
      </w:tr>
      <w:tr>
        <w:tblPrEx>
          <w:tblCellMar>
            <w:top w:w="0" w:type="dxa"/>
            <w:left w:w="108" w:type="dxa"/>
            <w:bottom w:w="0" w:type="dxa"/>
            <w:right w:w="108" w:type="dxa"/>
          </w:tblCellMar>
        </w:tblPrEx>
        <w:trPr>
          <w:trHeight w:val="593"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5</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电控发动机实训室</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满足汽车电控发动机故障诊断日常教学、实训</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汽车发动机控制系统检修</w:t>
            </w:r>
          </w:p>
        </w:tc>
      </w:tr>
      <w:tr>
        <w:tblPrEx>
          <w:tblCellMar>
            <w:top w:w="0" w:type="dxa"/>
            <w:left w:w="108" w:type="dxa"/>
            <w:bottom w:w="0" w:type="dxa"/>
            <w:right w:w="108" w:type="dxa"/>
          </w:tblCellMar>
        </w:tblPrEx>
        <w:trPr>
          <w:trHeight w:val="593"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6</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新能源汽车基础实训室</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新能源汽车基础认知、新能源汽车基础检测</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新能源汽车概述</w:t>
            </w:r>
          </w:p>
        </w:tc>
      </w:tr>
      <w:tr>
        <w:tblPrEx>
          <w:tblCellMar>
            <w:top w:w="0" w:type="dxa"/>
            <w:left w:w="108" w:type="dxa"/>
            <w:bottom w:w="0" w:type="dxa"/>
            <w:right w:w="108" w:type="dxa"/>
          </w:tblCellMar>
        </w:tblPrEx>
        <w:trPr>
          <w:trHeight w:val="1106"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7</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新能源汽车维修实训室</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满足新能源汽车故障诊断、充电系统检修、动力电池系统检修、动力系统检修等功能</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ascii="宋体" w:hAnsi="宋体"/>
                <w:color w:val="000000"/>
                <w:sz w:val="22"/>
                <w:szCs w:val="22"/>
              </w:rPr>
              <w:t>动力蓄电池系统构造与检修、驱动系统构造与检修、充电桩系统构造与检修</w:t>
            </w:r>
          </w:p>
        </w:tc>
      </w:tr>
      <w:tr>
        <w:tblPrEx>
          <w:tblCellMar>
            <w:top w:w="0" w:type="dxa"/>
            <w:left w:w="108" w:type="dxa"/>
            <w:bottom w:w="0" w:type="dxa"/>
            <w:right w:w="108" w:type="dxa"/>
          </w:tblCellMar>
        </w:tblPrEx>
        <w:trPr>
          <w:trHeight w:val="1106"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8</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新能源汽车整车实训室</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满足新能源汽车故障诊断、充电系统检修、新能源汽车维护、高压部件更换等功能</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ascii="宋体" w:hAnsi="宋体"/>
                <w:color w:val="000000"/>
                <w:sz w:val="22"/>
                <w:szCs w:val="22"/>
              </w:rPr>
              <w:t>新能源汽车维护</w:t>
            </w:r>
            <w:r>
              <w:rPr>
                <w:rFonts w:hint="eastAsia" w:ascii="宋体" w:hAnsi="宋体"/>
                <w:color w:val="000000"/>
                <w:sz w:val="22"/>
                <w:szCs w:val="22"/>
              </w:rPr>
              <w:t>、</w:t>
            </w:r>
            <w:r>
              <w:rPr>
                <w:rFonts w:ascii="宋体" w:hAnsi="宋体"/>
                <w:color w:val="000000"/>
                <w:sz w:val="22"/>
                <w:szCs w:val="22"/>
              </w:rPr>
              <w:t>混合动力汽车发动机构造与检修、底盘构造与检修、电气系统构造与检修、充电桩系统构造与检修</w:t>
            </w:r>
          </w:p>
        </w:tc>
      </w:tr>
      <w:tr>
        <w:tblPrEx>
          <w:tblCellMar>
            <w:top w:w="0" w:type="dxa"/>
            <w:left w:w="108" w:type="dxa"/>
            <w:bottom w:w="0" w:type="dxa"/>
            <w:right w:w="108" w:type="dxa"/>
          </w:tblCellMar>
        </w:tblPrEx>
        <w:trPr>
          <w:trHeight w:val="785"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9</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综合实训车间</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满足汽车专业整车教学、日常实训</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新能源汽车、燃油汽车定期维护、汽车底盘电控技术、汽车发动机控制系统检修、汽车车身电气设备检修</w:t>
            </w:r>
          </w:p>
        </w:tc>
      </w:tr>
      <w:tr>
        <w:tblPrEx>
          <w:tblCellMar>
            <w:top w:w="0" w:type="dxa"/>
            <w:left w:w="108" w:type="dxa"/>
            <w:bottom w:w="0" w:type="dxa"/>
            <w:right w:w="108" w:type="dxa"/>
          </w:tblCellMar>
        </w:tblPrEx>
        <w:trPr>
          <w:trHeight w:val="785"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10</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汽车仿真实训室</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满足汽车维护、发动机电控技术、底盘电控技术、车身电气故障维修等专业课程仿真教学、日常实训</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汽车电气维护、汽车底盘电控技术、汽车发动机控制系统检修、汽车车身电气设备检修</w:t>
            </w:r>
          </w:p>
        </w:tc>
      </w:tr>
      <w:tr>
        <w:tblPrEx>
          <w:tblCellMar>
            <w:top w:w="0" w:type="dxa"/>
            <w:left w:w="108" w:type="dxa"/>
            <w:bottom w:w="0" w:type="dxa"/>
            <w:right w:w="108" w:type="dxa"/>
          </w:tblCellMar>
        </w:tblPrEx>
        <w:trPr>
          <w:trHeight w:val="705" w:hRule="atLeast"/>
          <w:jc w:val="center"/>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ascii="宋体" w:hAnsi="宋体" w:cs="仿宋"/>
                <w:sz w:val="21"/>
              </w:rPr>
            </w:pPr>
            <w:r>
              <w:rPr>
                <w:rFonts w:hint="eastAsia" w:ascii="宋体" w:hAnsi="宋体" w:cs="仿宋"/>
                <w:sz w:val="21"/>
              </w:rPr>
              <w:t>11</w:t>
            </w:r>
          </w:p>
        </w:tc>
        <w:tc>
          <w:tcPr>
            <w:tcW w:w="1964"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汽车营销实训室</w:t>
            </w:r>
          </w:p>
        </w:tc>
        <w:tc>
          <w:tcPr>
            <w:tcW w:w="3122"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汽车营销教学及学生实训</w:t>
            </w:r>
          </w:p>
        </w:tc>
        <w:tc>
          <w:tcPr>
            <w:tcW w:w="3271" w:type="dxa"/>
            <w:tcBorders>
              <w:top w:val="nil"/>
              <w:left w:val="nil"/>
              <w:bottom w:val="single" w:color="auto" w:sz="4" w:space="0"/>
              <w:right w:val="single" w:color="auto" w:sz="4" w:space="0"/>
            </w:tcBorders>
            <w:shd w:val="clear" w:color="auto" w:fill="auto"/>
            <w:vAlign w:val="center"/>
          </w:tcPr>
          <w:p>
            <w:pPr>
              <w:widowControl/>
              <w:spacing w:line="240" w:lineRule="auto"/>
              <w:ind w:firstLine="0"/>
              <w:jc w:val="left"/>
              <w:rPr>
                <w:rFonts w:ascii="宋体" w:hAnsi="宋体" w:cs="仿宋"/>
                <w:sz w:val="21"/>
              </w:rPr>
            </w:pPr>
            <w:r>
              <w:rPr>
                <w:rFonts w:hint="eastAsia" w:ascii="宋体" w:hAnsi="宋体" w:cs="仿宋"/>
                <w:sz w:val="21"/>
              </w:rPr>
              <w:t>汽车营销与服务</w:t>
            </w:r>
          </w:p>
          <w:p>
            <w:pPr>
              <w:widowControl/>
              <w:spacing w:line="240" w:lineRule="auto"/>
              <w:ind w:firstLine="0"/>
              <w:jc w:val="left"/>
              <w:rPr>
                <w:rFonts w:ascii="宋体" w:hAnsi="宋体" w:cs="仿宋"/>
                <w:sz w:val="21"/>
              </w:rPr>
            </w:pPr>
            <w:r>
              <w:rPr>
                <w:rFonts w:hint="eastAsia" w:ascii="宋体" w:hAnsi="宋体" w:cs="仿宋"/>
                <w:sz w:val="21"/>
              </w:rPr>
              <w:t>汽车营销竞赛</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与4S店、维修厂、汽车制造厂等企业建立深度校企合作，结合专业内容，在相关企业建立校外实训基地，作为师资、设备和实习内容方面的充实。第5、</w:t>
      </w:r>
      <w:r>
        <w:rPr>
          <w:rFonts w:ascii="仿宋" w:hAnsi="仿宋" w:eastAsia="仿宋" w:cs="仿宋"/>
          <w:sz w:val="30"/>
          <w:szCs w:val="30"/>
        </w:rPr>
        <w:t>6</w:t>
      </w:r>
      <w:r>
        <w:rPr>
          <w:rFonts w:hint="eastAsia" w:ascii="仿宋" w:hAnsi="仿宋" w:eastAsia="仿宋" w:cs="仿宋"/>
          <w:sz w:val="30"/>
          <w:szCs w:val="30"/>
        </w:rPr>
        <w:t>学期学生要在校外实训基地完成岗位培训和顶岗实习任务。</w:t>
      </w:r>
    </w:p>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（三）教学资源</w:t>
      </w:r>
    </w:p>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根据学校现有条件充分利用校内实训场地，着重培养学生的动手能力，以省汽车技能大赛为指导，按照</w:t>
      </w:r>
      <w:r>
        <w:rPr>
          <w:rFonts w:ascii="仿宋" w:hAnsi="仿宋" w:eastAsia="仿宋" w:cs="仿宋"/>
          <w:sz w:val="30"/>
          <w:szCs w:val="30"/>
        </w:rPr>
        <w:t>4S</w:t>
      </w:r>
      <w:r>
        <w:rPr>
          <w:rFonts w:hint="eastAsia" w:ascii="仿宋" w:hAnsi="仿宋" w:eastAsia="仿宋" w:cs="仿宋"/>
          <w:sz w:val="30"/>
          <w:szCs w:val="30"/>
        </w:rPr>
        <w:t>店标准流程及维修手册的要求，规范学生的实际操作。</w:t>
      </w:r>
    </w:p>
    <w:p>
      <w:pPr>
        <w:autoSpaceDE w:val="0"/>
        <w:autoSpaceDN w:val="0"/>
        <w:spacing w:line="56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围绕岗位实际需求及市场需要，提炼符合教学实际的项目案例，组织教师筛选或编写适合本专业教学需要的优秀教材，以中职院校教材系列为主，编写教学资源包，建立核心课程教学资源库，在教师之间、师生之间分享，把企业引进学校。</w:t>
      </w:r>
    </w:p>
    <w:p>
      <w:pPr>
        <w:autoSpaceDE w:val="0"/>
        <w:autoSpaceDN w:val="0"/>
        <w:spacing w:line="56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校企合作，按职业岗位需求和学生实际情况，编写《岗位技能达标手册》，按照企业的需求培养学生，把岗位引进课堂。</w:t>
      </w:r>
    </w:p>
    <w:p>
      <w:pPr>
        <w:autoSpaceDE w:val="0"/>
        <w:autoSpaceDN w:val="0"/>
        <w:spacing w:line="56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通过每年的省技能大赛，引进对应的车型和维修资料，补充现有的教学设施。让老师参加省市技能培训及各种比赛，定期派老师去企业实习，提高老师的教学能力。</w:t>
      </w:r>
    </w:p>
    <w:p>
      <w:pPr>
        <w:autoSpaceDE w:val="0"/>
        <w:autoSpaceDN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（四）教学方法</w:t>
      </w:r>
    </w:p>
    <w:tbl>
      <w:tblPr>
        <w:tblStyle w:val="19"/>
        <w:tblW w:w="0" w:type="auto"/>
        <w:jc w:val="center"/>
        <w:tblLayout w:type="fixed"/>
        <w:tblCellMar>
          <w:top w:w="0" w:type="dxa"/>
          <w:left w:w="108" w:type="dxa"/>
          <w:bottom w:w="0" w:type="dxa"/>
          <w:right w:w="108" w:type="dxa"/>
        </w:tblCellMar>
      </w:tblPr>
      <w:tblGrid>
        <w:gridCol w:w="1110"/>
        <w:gridCol w:w="2266"/>
        <w:gridCol w:w="1546"/>
        <w:gridCol w:w="2028"/>
        <w:gridCol w:w="2094"/>
      </w:tblGrid>
      <w:tr>
        <w:tblPrEx>
          <w:tblCellMar>
            <w:top w:w="0" w:type="dxa"/>
            <w:left w:w="108" w:type="dxa"/>
            <w:bottom w:w="0" w:type="dxa"/>
            <w:right w:w="108" w:type="dxa"/>
          </w:tblCellMar>
        </w:tblPrEx>
        <w:trPr>
          <w:trHeight w:val="382" w:hRule="atLeast"/>
          <w:jc w:val="center"/>
        </w:trPr>
        <w:tc>
          <w:tcPr>
            <w:tcW w:w="1110"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课程类型</w:t>
            </w:r>
          </w:p>
        </w:tc>
        <w:tc>
          <w:tcPr>
            <w:tcW w:w="226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公共基础课</w:t>
            </w:r>
          </w:p>
        </w:tc>
        <w:tc>
          <w:tcPr>
            <w:tcW w:w="357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专业技能课</w:t>
            </w:r>
          </w:p>
        </w:tc>
        <w:tc>
          <w:tcPr>
            <w:tcW w:w="209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岗位实训课</w:t>
            </w:r>
          </w:p>
        </w:tc>
      </w:tr>
      <w:tr>
        <w:tblPrEx>
          <w:tblCellMar>
            <w:top w:w="0" w:type="dxa"/>
            <w:left w:w="108" w:type="dxa"/>
            <w:bottom w:w="0" w:type="dxa"/>
            <w:right w:w="108" w:type="dxa"/>
          </w:tblCellMar>
        </w:tblPrEx>
        <w:trPr>
          <w:trHeight w:val="430" w:hRule="atLeast"/>
          <w:jc w:val="center"/>
        </w:trPr>
        <w:tc>
          <w:tcPr>
            <w:tcW w:w="11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p>
        </w:tc>
        <w:tc>
          <w:tcPr>
            <w:tcW w:w="2266"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p>
        </w:tc>
        <w:tc>
          <w:tcPr>
            <w:tcW w:w="1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理论</w:t>
            </w:r>
          </w:p>
        </w:tc>
        <w:tc>
          <w:tcPr>
            <w:tcW w:w="2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hAnsi="宋体" w:cs="仿宋"/>
                <w:sz w:val="21"/>
              </w:rPr>
            </w:pPr>
            <w:r>
              <w:rPr>
                <w:rFonts w:hint="eastAsia" w:ascii="宋体" w:hAnsi="宋体" w:cs="仿宋"/>
                <w:sz w:val="21"/>
              </w:rPr>
              <w:t>实践</w:t>
            </w:r>
          </w:p>
        </w:tc>
        <w:tc>
          <w:tcPr>
            <w:tcW w:w="209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p>
        </w:tc>
      </w:tr>
      <w:tr>
        <w:tblPrEx>
          <w:tblCellMar>
            <w:top w:w="0" w:type="dxa"/>
            <w:left w:w="108" w:type="dxa"/>
            <w:bottom w:w="0" w:type="dxa"/>
            <w:right w:w="108" w:type="dxa"/>
          </w:tblCellMar>
        </w:tblPrEx>
        <w:trPr>
          <w:trHeight w:val="989" w:hRule="atLeast"/>
          <w:jc w:val="center"/>
        </w:trPr>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教学方法与手段</w:t>
            </w:r>
          </w:p>
        </w:tc>
        <w:tc>
          <w:tcPr>
            <w:tcW w:w="22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讲授与演示；</w:t>
            </w:r>
          </w:p>
          <w:p>
            <w:pPr>
              <w:autoSpaceDE w:val="0"/>
              <w:autoSpaceDN w:val="0"/>
              <w:spacing w:line="240" w:lineRule="auto"/>
              <w:ind w:firstLine="0"/>
              <w:jc w:val="left"/>
              <w:rPr>
                <w:rFonts w:ascii="宋体" w:hAnsi="宋体" w:cs="仿宋"/>
                <w:sz w:val="21"/>
              </w:rPr>
            </w:pPr>
            <w:r>
              <w:rPr>
                <w:rFonts w:hint="eastAsia" w:ascii="宋体" w:hAnsi="宋体" w:cs="仿宋"/>
                <w:sz w:val="21"/>
              </w:rPr>
              <w:t>角色扮演；</w:t>
            </w:r>
          </w:p>
          <w:p>
            <w:pPr>
              <w:autoSpaceDE w:val="0"/>
              <w:autoSpaceDN w:val="0"/>
              <w:spacing w:line="240" w:lineRule="auto"/>
              <w:ind w:firstLine="0"/>
              <w:jc w:val="left"/>
              <w:rPr>
                <w:rFonts w:ascii="宋体" w:hAnsi="宋体" w:cs="仿宋"/>
                <w:sz w:val="21"/>
              </w:rPr>
            </w:pPr>
            <w:r>
              <w:rPr>
                <w:rFonts w:hint="eastAsia" w:ascii="宋体" w:hAnsi="宋体" w:cs="仿宋"/>
                <w:sz w:val="21"/>
              </w:rPr>
              <w:t>小组讨论法。</w:t>
            </w:r>
          </w:p>
        </w:tc>
        <w:tc>
          <w:tcPr>
            <w:tcW w:w="1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案例分析；</w:t>
            </w:r>
          </w:p>
          <w:p>
            <w:pPr>
              <w:autoSpaceDE w:val="0"/>
              <w:autoSpaceDN w:val="0"/>
              <w:spacing w:line="240" w:lineRule="auto"/>
              <w:ind w:firstLine="0"/>
              <w:jc w:val="left"/>
              <w:rPr>
                <w:rFonts w:ascii="宋体" w:hAnsi="宋体" w:cs="仿宋"/>
                <w:sz w:val="21"/>
              </w:rPr>
            </w:pPr>
            <w:r>
              <w:rPr>
                <w:rFonts w:hint="eastAsia" w:ascii="宋体" w:hAnsi="宋体" w:cs="仿宋"/>
                <w:sz w:val="21"/>
              </w:rPr>
              <w:t>小组讨论法。</w:t>
            </w:r>
            <w:r>
              <w:rPr>
                <w:rFonts w:ascii="宋体" w:hAnsi="宋体" w:cs="仿宋"/>
                <w:sz w:val="21"/>
              </w:rPr>
              <w:t xml:space="preserve"> </w:t>
            </w:r>
          </w:p>
        </w:tc>
        <w:tc>
          <w:tcPr>
            <w:tcW w:w="2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基于工作化开展实训实习</w:t>
            </w:r>
          </w:p>
        </w:tc>
        <w:tc>
          <w:tcPr>
            <w:tcW w:w="20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校企合作，</w:t>
            </w:r>
          </w:p>
          <w:p>
            <w:pPr>
              <w:autoSpaceDE w:val="0"/>
              <w:autoSpaceDN w:val="0"/>
              <w:spacing w:line="240" w:lineRule="auto"/>
              <w:ind w:firstLine="0"/>
              <w:jc w:val="left"/>
              <w:rPr>
                <w:rFonts w:ascii="宋体" w:hAnsi="宋体" w:cs="仿宋"/>
                <w:sz w:val="21"/>
              </w:rPr>
            </w:pPr>
            <w:r>
              <w:rPr>
                <w:rFonts w:hint="eastAsia" w:ascii="宋体" w:hAnsi="宋体" w:cs="仿宋"/>
                <w:sz w:val="21"/>
              </w:rPr>
              <w:t>工学一体化，</w:t>
            </w:r>
          </w:p>
          <w:p>
            <w:pPr>
              <w:autoSpaceDE w:val="0"/>
              <w:autoSpaceDN w:val="0"/>
              <w:spacing w:line="240" w:lineRule="auto"/>
              <w:ind w:firstLine="0"/>
              <w:jc w:val="left"/>
              <w:rPr>
                <w:rFonts w:ascii="宋体" w:hAnsi="宋体" w:cs="仿宋"/>
                <w:sz w:val="21"/>
              </w:rPr>
            </w:pPr>
            <w:r>
              <w:rPr>
                <w:rFonts w:hint="eastAsia" w:ascii="宋体" w:hAnsi="宋体" w:cs="仿宋"/>
                <w:sz w:val="21"/>
              </w:rPr>
              <w:t>顶岗实训，</w:t>
            </w:r>
          </w:p>
        </w:tc>
      </w:tr>
      <w:tr>
        <w:tblPrEx>
          <w:tblCellMar>
            <w:top w:w="0" w:type="dxa"/>
            <w:left w:w="108" w:type="dxa"/>
            <w:bottom w:w="0" w:type="dxa"/>
            <w:right w:w="108" w:type="dxa"/>
          </w:tblCellMar>
        </w:tblPrEx>
        <w:trPr>
          <w:trHeight w:val="976" w:hRule="atLeast"/>
          <w:jc w:val="center"/>
        </w:trPr>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教学组织</w:t>
            </w:r>
          </w:p>
        </w:tc>
        <w:tc>
          <w:tcPr>
            <w:tcW w:w="22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信息化教学，学生为主体，教师为主导。</w:t>
            </w:r>
          </w:p>
        </w:tc>
        <w:tc>
          <w:tcPr>
            <w:tcW w:w="357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以学生为主体，教师为主导，实施项目导向、任务驱动、模块化教学等教学模式。</w:t>
            </w:r>
          </w:p>
        </w:tc>
        <w:tc>
          <w:tcPr>
            <w:tcW w:w="20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left"/>
              <w:rPr>
                <w:rFonts w:ascii="宋体" w:hAnsi="宋体" w:cs="仿宋"/>
                <w:sz w:val="21"/>
              </w:rPr>
            </w:pPr>
            <w:r>
              <w:rPr>
                <w:rFonts w:hint="eastAsia" w:ascii="宋体" w:hAnsi="宋体" w:cs="仿宋"/>
                <w:sz w:val="21"/>
              </w:rPr>
              <w:t>校内基地生产化，校外基地教学化。</w:t>
            </w:r>
          </w:p>
        </w:tc>
      </w:tr>
    </w:tbl>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（五）学习评价</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按照</w:t>
      </w:r>
      <w:r>
        <w:rPr>
          <w:rFonts w:ascii="仿宋" w:hAnsi="仿宋" w:eastAsia="仿宋" w:cs="仿宋"/>
          <w:sz w:val="30"/>
          <w:szCs w:val="30"/>
        </w:rPr>
        <w:t>“</w:t>
      </w:r>
      <w:r>
        <w:rPr>
          <w:rFonts w:hint="eastAsia" w:ascii="仿宋" w:hAnsi="仿宋" w:eastAsia="仿宋" w:cs="仿宋"/>
          <w:sz w:val="30"/>
          <w:szCs w:val="30"/>
        </w:rPr>
        <w:t>德育为先，能力为重，全面发展</w:t>
      </w:r>
      <w:r>
        <w:rPr>
          <w:rFonts w:ascii="仿宋" w:hAnsi="仿宋" w:eastAsia="仿宋" w:cs="仿宋"/>
          <w:sz w:val="30"/>
          <w:szCs w:val="30"/>
        </w:rPr>
        <w:t>”</w:t>
      </w:r>
      <w:r>
        <w:rPr>
          <w:rFonts w:hint="eastAsia" w:ascii="仿宋" w:hAnsi="仿宋" w:eastAsia="仿宋" w:cs="仿宋"/>
          <w:sz w:val="30"/>
          <w:szCs w:val="30"/>
        </w:rPr>
        <w:t>的指导思路，突出能力的考核评价方式，体现对综合素质的评价；吸纳企业和社会有关方面组织参与考核评价。每门课程在教学大纲中根据理论教学内容和实践教学需要，确定教学目标，拟定相应教学评价标准，根据教学目标和标准建立相关考核指标。</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以人为本，科学开展教学评价</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学生是教育教学的出发点和落角点，坚持做好学生评教反馈机制的同时，适时构建校园网络平台，采取网络评教，对老师进行全校性评选，推选出我心目中的</w:t>
      </w:r>
      <w:r>
        <w:rPr>
          <w:rFonts w:ascii="仿宋" w:hAnsi="仿宋" w:eastAsia="仿宋" w:cs="仿宋"/>
          <w:sz w:val="30"/>
          <w:szCs w:val="30"/>
        </w:rPr>
        <w:t>“</w:t>
      </w:r>
      <w:r>
        <w:rPr>
          <w:rFonts w:hint="eastAsia" w:ascii="仿宋" w:hAnsi="仿宋" w:eastAsia="仿宋" w:cs="仿宋"/>
          <w:sz w:val="30"/>
          <w:szCs w:val="30"/>
        </w:rPr>
        <w:t>最美老师</w:t>
      </w:r>
      <w:r>
        <w:rPr>
          <w:rFonts w:ascii="仿宋" w:hAnsi="仿宋" w:eastAsia="仿宋" w:cs="仿宋"/>
          <w:sz w:val="30"/>
          <w:szCs w:val="30"/>
        </w:rPr>
        <w:t>”</w:t>
      </w:r>
      <w:r>
        <w:rPr>
          <w:rFonts w:hint="eastAsia" w:ascii="仿宋" w:hAnsi="仿宋" w:eastAsia="仿宋" w:cs="仿宋"/>
          <w:sz w:val="30"/>
          <w:szCs w:val="30"/>
        </w:rPr>
        <w:t>，激励教师的成长动力，在不断的反馈中使教师能深入学生心中，促进师生共融，乐学乐教局面的形成。同时，要请企业、行业专家对教学实用性进行评价，实施学生评教、同行和专家评教全覆盖，指导专业健康发展。</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以</w:t>
      </w:r>
      <w:r>
        <w:rPr>
          <w:rFonts w:ascii="仿宋" w:hAnsi="仿宋" w:eastAsia="仿宋" w:cs="仿宋"/>
          <w:sz w:val="30"/>
          <w:szCs w:val="30"/>
        </w:rPr>
        <w:t>“</w:t>
      </w:r>
      <w:r>
        <w:rPr>
          <w:rFonts w:hint="eastAsia" w:ascii="仿宋" w:hAnsi="仿宋" w:eastAsia="仿宋" w:cs="仿宋"/>
          <w:sz w:val="30"/>
          <w:szCs w:val="30"/>
        </w:rPr>
        <w:t>双达标</w:t>
      </w:r>
      <w:r>
        <w:rPr>
          <w:rFonts w:ascii="仿宋" w:hAnsi="仿宋" w:eastAsia="仿宋" w:cs="仿宋"/>
          <w:sz w:val="30"/>
          <w:szCs w:val="30"/>
        </w:rPr>
        <w:t>”</w:t>
      </w:r>
      <w:r>
        <w:rPr>
          <w:rFonts w:hint="eastAsia" w:ascii="仿宋" w:hAnsi="仿宋" w:eastAsia="仿宋" w:cs="仿宋"/>
          <w:sz w:val="30"/>
          <w:szCs w:val="30"/>
        </w:rPr>
        <w:t>为纲，全面落实教学考核</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公共课程考核试卷命题考核为主，要结合专业开展教学考核，根据具体情况也可采取随堂考核。考核标准根据不同课程、不同教学内容设定，突出学生对基本理论知识的理解及掌握，以及对专业学习的支持作用，即有效性。</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以</w:t>
      </w:r>
      <w:r>
        <w:rPr>
          <w:rFonts w:ascii="仿宋" w:hAnsi="仿宋" w:eastAsia="仿宋" w:cs="仿宋"/>
          <w:sz w:val="30"/>
          <w:szCs w:val="30"/>
        </w:rPr>
        <w:t>“</w:t>
      </w:r>
      <w:r>
        <w:rPr>
          <w:rFonts w:hint="eastAsia" w:ascii="仿宋" w:hAnsi="仿宋" w:eastAsia="仿宋" w:cs="仿宋"/>
          <w:sz w:val="30"/>
          <w:szCs w:val="30"/>
        </w:rPr>
        <w:t>双达标</w:t>
      </w:r>
      <w:r>
        <w:rPr>
          <w:rFonts w:ascii="仿宋" w:hAnsi="仿宋" w:eastAsia="仿宋" w:cs="仿宋"/>
          <w:sz w:val="30"/>
          <w:szCs w:val="30"/>
        </w:rPr>
        <w:t>”</w:t>
      </w:r>
      <w:r>
        <w:rPr>
          <w:rFonts w:hint="eastAsia" w:ascii="仿宋" w:hAnsi="仿宋" w:eastAsia="仿宋" w:cs="仿宋"/>
          <w:sz w:val="30"/>
          <w:szCs w:val="30"/>
        </w:rPr>
        <w:t>为纲，专业课程主要考核采用</w:t>
      </w:r>
      <w:r>
        <w:rPr>
          <w:rFonts w:ascii="仿宋" w:hAnsi="仿宋" w:eastAsia="仿宋" w:cs="仿宋"/>
          <w:sz w:val="30"/>
          <w:szCs w:val="30"/>
        </w:rPr>
        <w:t>“244”</w:t>
      </w:r>
      <w:r>
        <w:rPr>
          <w:rFonts w:hint="eastAsia" w:ascii="仿宋" w:hAnsi="仿宋" w:eastAsia="仿宋" w:cs="仿宋"/>
          <w:sz w:val="30"/>
          <w:szCs w:val="30"/>
        </w:rPr>
        <w:t>考评机制，该课程总成绩（</w:t>
      </w:r>
      <w:r>
        <w:rPr>
          <w:rFonts w:ascii="仿宋" w:hAnsi="仿宋" w:eastAsia="仿宋" w:cs="仿宋"/>
          <w:sz w:val="30"/>
          <w:szCs w:val="30"/>
        </w:rPr>
        <w:t>100%</w:t>
      </w:r>
      <w:r>
        <w:rPr>
          <w:rFonts w:hint="eastAsia" w:ascii="仿宋" w:hAnsi="仿宋" w:eastAsia="仿宋" w:cs="仿宋"/>
          <w:sz w:val="30"/>
          <w:szCs w:val="30"/>
        </w:rPr>
        <w:t>）</w:t>
      </w:r>
      <w:r>
        <w:rPr>
          <w:rFonts w:ascii="仿宋" w:hAnsi="仿宋" w:eastAsia="仿宋" w:cs="仿宋"/>
          <w:sz w:val="30"/>
          <w:szCs w:val="30"/>
        </w:rPr>
        <w:t>=</w:t>
      </w:r>
      <w:r>
        <w:rPr>
          <w:rFonts w:hint="eastAsia" w:ascii="仿宋" w:hAnsi="仿宋" w:eastAsia="仿宋" w:cs="仿宋"/>
          <w:sz w:val="30"/>
          <w:szCs w:val="30"/>
        </w:rPr>
        <w:t>平时表现（</w:t>
      </w:r>
      <w:r>
        <w:rPr>
          <w:rFonts w:ascii="仿宋" w:hAnsi="仿宋" w:eastAsia="仿宋" w:cs="仿宋"/>
          <w:sz w:val="30"/>
          <w:szCs w:val="30"/>
        </w:rPr>
        <w:t>20%</w:t>
      </w:r>
      <w:r>
        <w:rPr>
          <w:rFonts w:hint="eastAsia" w:ascii="仿宋" w:hAnsi="仿宋" w:eastAsia="仿宋" w:cs="仿宋"/>
          <w:sz w:val="30"/>
          <w:szCs w:val="30"/>
        </w:rPr>
        <w:t>）</w:t>
      </w:r>
      <w:r>
        <w:rPr>
          <w:rFonts w:ascii="仿宋" w:hAnsi="仿宋" w:eastAsia="仿宋" w:cs="仿宋"/>
          <w:sz w:val="30"/>
          <w:szCs w:val="30"/>
        </w:rPr>
        <w:t>+</w:t>
      </w:r>
      <w:r>
        <w:rPr>
          <w:rFonts w:hint="eastAsia" w:ascii="仿宋" w:hAnsi="仿宋" w:eastAsia="仿宋" w:cs="仿宋"/>
          <w:sz w:val="30"/>
          <w:szCs w:val="30"/>
        </w:rPr>
        <w:t>每月（共</w:t>
      </w:r>
      <w:r>
        <w:rPr>
          <w:rFonts w:ascii="仿宋" w:hAnsi="仿宋" w:eastAsia="仿宋" w:cs="仿宋"/>
          <w:sz w:val="30"/>
          <w:szCs w:val="30"/>
        </w:rPr>
        <w:t>4</w:t>
      </w:r>
      <w:r>
        <w:rPr>
          <w:rFonts w:hint="eastAsia" w:ascii="仿宋" w:hAnsi="仿宋" w:eastAsia="仿宋" w:cs="仿宋"/>
          <w:sz w:val="30"/>
          <w:szCs w:val="30"/>
        </w:rPr>
        <w:t>个月）实训考核成绩（</w:t>
      </w:r>
      <w:r>
        <w:rPr>
          <w:rFonts w:ascii="仿宋" w:hAnsi="仿宋" w:eastAsia="仿宋" w:cs="仿宋"/>
          <w:sz w:val="30"/>
          <w:szCs w:val="30"/>
        </w:rPr>
        <w:t>40%</w:t>
      </w:r>
      <w:r>
        <w:rPr>
          <w:rFonts w:hint="eastAsia" w:ascii="仿宋" w:hAnsi="仿宋" w:eastAsia="仿宋" w:cs="仿宋"/>
          <w:sz w:val="30"/>
          <w:szCs w:val="30"/>
        </w:rPr>
        <w:t>）</w:t>
      </w:r>
      <w:r>
        <w:rPr>
          <w:rFonts w:ascii="仿宋" w:hAnsi="仿宋" w:eastAsia="仿宋" w:cs="仿宋"/>
          <w:sz w:val="30"/>
          <w:szCs w:val="30"/>
        </w:rPr>
        <w:t>+</w:t>
      </w:r>
      <w:r>
        <w:rPr>
          <w:rFonts w:hint="eastAsia" w:ascii="仿宋" w:hAnsi="仿宋" w:eastAsia="仿宋" w:cs="仿宋"/>
          <w:sz w:val="30"/>
          <w:szCs w:val="30"/>
        </w:rPr>
        <w:t>期末提交项目（</w:t>
      </w:r>
      <w:r>
        <w:rPr>
          <w:rFonts w:ascii="仿宋" w:hAnsi="仿宋" w:eastAsia="仿宋" w:cs="仿宋"/>
          <w:sz w:val="30"/>
          <w:szCs w:val="30"/>
        </w:rPr>
        <w:t>40%</w:t>
      </w:r>
      <w:r>
        <w:rPr>
          <w:rFonts w:hint="eastAsia" w:ascii="仿宋" w:hAnsi="仿宋" w:eastAsia="仿宋" w:cs="仿宋"/>
          <w:sz w:val="30"/>
          <w:szCs w:val="30"/>
        </w:rPr>
        <w:t>）</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（六）质量管理</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规范日常教学管理，保障良好教学秩序</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）按学校教学管理相关文件要求，开展日常教学管理工作；</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）认真落实备课、上课、作业布置与批改、实训考核、课外辅导、试卷命题等检查制度；</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）以学科组为单位，合理制定或修订本专业教学计划、教学大纲、课程考核方法、标准等；</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4</w:t>
      </w:r>
      <w:r>
        <w:rPr>
          <w:rFonts w:hint="eastAsia" w:ascii="仿宋" w:hAnsi="仿宋" w:eastAsia="仿宋" w:cs="仿宋"/>
          <w:sz w:val="30"/>
          <w:szCs w:val="30"/>
        </w:rPr>
        <w:t>）规范教学文件、教学档案等。</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采用</w:t>
      </w:r>
      <w:r>
        <w:rPr>
          <w:rFonts w:ascii="仿宋" w:hAnsi="仿宋" w:eastAsia="仿宋" w:cs="仿宋"/>
          <w:sz w:val="30"/>
          <w:szCs w:val="30"/>
        </w:rPr>
        <w:t>“</w:t>
      </w:r>
      <w:r>
        <w:rPr>
          <w:rFonts w:hint="eastAsia" w:ascii="仿宋" w:hAnsi="仿宋" w:eastAsia="仿宋" w:cs="仿宋"/>
          <w:sz w:val="30"/>
          <w:szCs w:val="30"/>
        </w:rPr>
        <w:t>以岗定学，以学定教</w:t>
      </w:r>
      <w:r>
        <w:rPr>
          <w:rFonts w:ascii="仿宋" w:hAnsi="仿宋" w:eastAsia="仿宋" w:cs="仿宋"/>
          <w:sz w:val="30"/>
          <w:szCs w:val="30"/>
        </w:rPr>
        <w:t>”</w:t>
      </w:r>
      <w:r>
        <w:rPr>
          <w:rFonts w:hint="eastAsia" w:ascii="仿宋" w:hAnsi="仿宋" w:eastAsia="仿宋" w:cs="仿宋"/>
          <w:sz w:val="30"/>
          <w:szCs w:val="30"/>
        </w:rPr>
        <w:t>的管理策略</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围绕岗位需求，不断研究汽车运用与维修专业的新特点和发展趋势，要求教师结合岗位引入岗位相关的实际项目，不断把岗位引进课堂，使教学项目处处体现岗位的实际需求，把</w:t>
      </w:r>
      <w:r>
        <w:rPr>
          <w:rFonts w:ascii="仿宋" w:hAnsi="仿宋" w:eastAsia="仿宋" w:cs="仿宋"/>
          <w:sz w:val="30"/>
          <w:szCs w:val="30"/>
        </w:rPr>
        <w:t>“</w:t>
      </w:r>
      <w:r>
        <w:rPr>
          <w:rFonts w:hint="eastAsia" w:ascii="仿宋" w:hAnsi="仿宋" w:eastAsia="仿宋" w:cs="仿宋"/>
          <w:sz w:val="30"/>
          <w:szCs w:val="30"/>
        </w:rPr>
        <w:t>项目引领、任务驱动</w:t>
      </w:r>
      <w:r>
        <w:rPr>
          <w:rFonts w:ascii="仿宋" w:hAnsi="仿宋" w:eastAsia="仿宋" w:cs="仿宋"/>
          <w:sz w:val="30"/>
          <w:szCs w:val="30"/>
        </w:rPr>
        <w:t>”</w:t>
      </w:r>
      <w:r>
        <w:rPr>
          <w:rFonts w:hint="eastAsia" w:ascii="仿宋" w:hAnsi="仿宋" w:eastAsia="仿宋" w:cs="仿宋"/>
          <w:sz w:val="30"/>
          <w:szCs w:val="30"/>
        </w:rPr>
        <w:t>的教学基本模式与岗位需求和谐统一，实现项目教学的岗位化，真实化，促进</w:t>
      </w:r>
      <w:r>
        <w:rPr>
          <w:rFonts w:ascii="仿宋" w:hAnsi="仿宋" w:eastAsia="仿宋" w:cs="仿宋"/>
          <w:sz w:val="30"/>
          <w:szCs w:val="30"/>
        </w:rPr>
        <w:t>“</w:t>
      </w:r>
      <w:r>
        <w:rPr>
          <w:rFonts w:hint="eastAsia" w:ascii="仿宋" w:hAnsi="仿宋" w:eastAsia="仿宋" w:cs="仿宋"/>
          <w:sz w:val="30"/>
          <w:szCs w:val="30"/>
        </w:rPr>
        <w:t>双达标</w:t>
      </w:r>
      <w:r>
        <w:rPr>
          <w:rFonts w:ascii="仿宋" w:hAnsi="仿宋" w:eastAsia="仿宋" w:cs="仿宋"/>
          <w:sz w:val="30"/>
          <w:szCs w:val="30"/>
        </w:rPr>
        <w:t>”</w:t>
      </w:r>
      <w:r>
        <w:rPr>
          <w:rFonts w:hint="eastAsia" w:ascii="仿宋" w:hAnsi="仿宋" w:eastAsia="仿宋" w:cs="仿宋"/>
          <w:sz w:val="30"/>
          <w:szCs w:val="30"/>
        </w:rPr>
        <w:t>的实效性。</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）以岗定学，以学定教，学、教、做合一，优化教学行为和教学过程，构建高效课堂。</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实施项目导向、任务驱动的教学模式。将项目导向、任务驱动贯穿于课程设计、教材开发、教学组织的全过程，做到学习任务与工作任务一致，学习环境与工作环境一致，学习内容与工作内容一致。实现在工作中学习，在学习中工作。</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）以大赛为引导，加强高技能人才建设。围绕技能比赛开展一系列教学活动和教学改革外，以技能大赛为载体，促进学生全面发展，提高学生的心理素质和职业素质。</w:t>
      </w:r>
      <w:r>
        <w:rPr>
          <w:rFonts w:ascii="仿宋" w:hAnsi="仿宋" w:eastAsia="仿宋" w:cs="仿宋"/>
          <w:sz w:val="30"/>
          <w:szCs w:val="30"/>
        </w:rPr>
        <w:t xml:space="preserve"> </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加强学习研讨，提升教学管理质量</w:t>
      </w:r>
      <w:r>
        <w:rPr>
          <w:rFonts w:ascii="仿宋" w:hAnsi="仿宋" w:eastAsia="仿宋" w:cs="仿宋"/>
          <w:sz w:val="30"/>
          <w:szCs w:val="30"/>
        </w:rPr>
        <w:t xml:space="preserve"> </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进一步明确细化教学目标，综合运用各种教学方法，完善教学管理、改善考评制度，关注师生整个的学习过程。</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）深入学习全面质量管理的知识，树立全面质量管理的理念。</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）加强管理队伍建设；拟订教师培养计划；多给教师提供出去参加学习、培训交流和到企业锻炼的机会。</w:t>
      </w:r>
      <w:r>
        <w:rPr>
          <w:rFonts w:ascii="仿宋" w:hAnsi="仿宋" w:eastAsia="仿宋" w:cs="仿宋"/>
          <w:sz w:val="30"/>
          <w:szCs w:val="30"/>
        </w:rPr>
        <w:t xml:space="preserve"> </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）以实际岗位的成果化作品为切入点，以各种比赛为平台，激发教师比专业、比技能的内驱力，善于对老师进行情感激励和生活关心，调动广大教师的积极性。</w:t>
      </w:r>
    </w:p>
    <w:p>
      <w:pPr>
        <w:autoSpaceDE w:val="0"/>
        <w:autoSpaceDN w:val="0"/>
        <w:spacing w:line="560" w:lineRule="exact"/>
        <w:ind w:firstLine="561"/>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跟踪毕业生信息，反馈教学教改管理</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1</w:t>
      </w:r>
      <w:r>
        <w:rPr>
          <w:rFonts w:hint="eastAsia" w:ascii="仿宋" w:hAnsi="仿宋" w:eastAsia="仿宋" w:cs="仿宋"/>
          <w:sz w:val="30"/>
          <w:szCs w:val="30"/>
        </w:rPr>
        <w:t>）以工学结合企业为结点，建立毕业生监测、反馈点；</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2</w:t>
      </w:r>
      <w:r>
        <w:rPr>
          <w:rFonts w:hint="eastAsia" w:ascii="仿宋" w:hAnsi="仿宋" w:eastAsia="仿宋" w:cs="仿宋"/>
          <w:sz w:val="30"/>
          <w:szCs w:val="30"/>
        </w:rPr>
        <w:t>）以班主任为核心，定期开展毕业跟踪调查和信息反馈工作；</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）确定调查对象、内容、范围和调研方法；</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4</w:t>
      </w:r>
      <w:r>
        <w:rPr>
          <w:rFonts w:hint="eastAsia" w:ascii="仿宋" w:hAnsi="仿宋" w:eastAsia="仿宋" w:cs="仿宋"/>
          <w:sz w:val="30"/>
          <w:szCs w:val="30"/>
        </w:rPr>
        <w:t>）调查问卷设计、收集、整理与统计分析；</w:t>
      </w:r>
    </w:p>
    <w:p>
      <w:pPr>
        <w:autoSpaceDE w:val="0"/>
        <w:autoSpaceDN w:val="0"/>
        <w:spacing w:line="560" w:lineRule="exact"/>
        <w:ind w:firstLine="561"/>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5</w:t>
      </w:r>
      <w:r>
        <w:rPr>
          <w:rFonts w:hint="eastAsia" w:ascii="仿宋" w:hAnsi="仿宋" w:eastAsia="仿宋" w:cs="仿宋"/>
          <w:sz w:val="30"/>
          <w:szCs w:val="30"/>
        </w:rPr>
        <w:t>）以教研组为核心，对毕业生跟踪信息定期研讨，成果汇报给教师，应用到教育教学活动中。</w:t>
      </w:r>
    </w:p>
    <w:p>
      <w:pPr>
        <w:overflowPunct w:val="0"/>
        <w:spacing w:before="200" w:beforeLines="50" w:line="240" w:lineRule="auto"/>
        <w:ind w:firstLine="600" w:firstLineChars="200"/>
        <w:rPr>
          <w:rFonts w:ascii="黑体" w:hAnsi="黑体" w:eastAsia="黑体"/>
          <w:sz w:val="30"/>
          <w:szCs w:val="30"/>
        </w:rPr>
      </w:pPr>
      <w:r>
        <w:rPr>
          <w:rFonts w:hint="eastAsia" w:ascii="黑体" w:hAnsi="黑体" w:eastAsia="黑体"/>
          <w:sz w:val="30"/>
          <w:szCs w:val="30"/>
        </w:rPr>
        <w:t>九、毕业要求</w:t>
      </w:r>
    </w:p>
    <w:p>
      <w:pPr>
        <w:autoSpaceDE w:val="0"/>
        <w:autoSpaceDN w:val="0"/>
        <w:ind w:firstLine="560"/>
        <w:jc w:val="center"/>
        <w:rPr>
          <w:rFonts w:ascii="宋体" w:cs="宋体"/>
          <w:b w:val="0"/>
          <w:bCs w:val="0"/>
          <w:kern w:val="0"/>
          <w:sz w:val="28"/>
          <w:szCs w:val="28"/>
          <w:lang w:val="zh-CN"/>
        </w:rPr>
      </w:pPr>
      <w:r>
        <w:rPr>
          <w:rFonts w:hint="eastAsia" w:ascii="宋体" w:cs="宋体"/>
          <w:b w:val="0"/>
          <w:bCs w:val="0"/>
          <w:kern w:val="0"/>
          <w:sz w:val="28"/>
          <w:szCs w:val="28"/>
          <w:lang w:val="zh-CN"/>
        </w:rPr>
        <w:t>学生毕业基本要求一览表</w:t>
      </w:r>
    </w:p>
    <w:tbl>
      <w:tblPr>
        <w:tblStyle w:val="19"/>
        <w:tblW w:w="0" w:type="auto"/>
        <w:jc w:val="center"/>
        <w:tblLayout w:type="fixed"/>
        <w:tblCellMar>
          <w:top w:w="0" w:type="dxa"/>
          <w:left w:w="108" w:type="dxa"/>
          <w:bottom w:w="0" w:type="dxa"/>
          <w:right w:w="108" w:type="dxa"/>
        </w:tblCellMar>
      </w:tblPr>
      <w:tblGrid>
        <w:gridCol w:w="1026"/>
        <w:gridCol w:w="1706"/>
        <w:gridCol w:w="1224"/>
        <w:gridCol w:w="5678"/>
      </w:tblGrid>
      <w:tr>
        <w:tblPrEx>
          <w:tblCellMar>
            <w:top w:w="0" w:type="dxa"/>
            <w:left w:w="108" w:type="dxa"/>
            <w:bottom w:w="0" w:type="dxa"/>
            <w:right w:w="108" w:type="dxa"/>
          </w:tblCellMar>
        </w:tblPrEx>
        <w:trPr>
          <w:trHeight w:val="518" w:hRule="atLeast"/>
          <w:jc w:val="center"/>
        </w:trPr>
        <w:tc>
          <w:tcPr>
            <w:tcW w:w="10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序号</w:t>
            </w:r>
          </w:p>
        </w:tc>
        <w:tc>
          <w:tcPr>
            <w:tcW w:w="1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项目或内容</w:t>
            </w:r>
          </w:p>
        </w:tc>
        <w:tc>
          <w:tcPr>
            <w:tcW w:w="690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基本标准</w:t>
            </w:r>
          </w:p>
        </w:tc>
      </w:tr>
      <w:tr>
        <w:tblPrEx>
          <w:tblCellMar>
            <w:top w:w="0" w:type="dxa"/>
            <w:left w:w="108" w:type="dxa"/>
            <w:bottom w:w="0" w:type="dxa"/>
            <w:right w:w="108" w:type="dxa"/>
          </w:tblCellMar>
        </w:tblPrEx>
        <w:trPr>
          <w:trHeight w:val="402" w:hRule="atLeast"/>
          <w:jc w:val="center"/>
        </w:trPr>
        <w:tc>
          <w:tcPr>
            <w:tcW w:w="10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ascii="宋体" w:cs="宋体"/>
                <w:kern w:val="0"/>
                <w:sz w:val="21"/>
                <w:lang w:val="zh-CN"/>
              </w:rPr>
              <w:t>1</w:t>
            </w:r>
          </w:p>
        </w:tc>
        <w:tc>
          <w:tcPr>
            <w:tcW w:w="1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课程要求</w:t>
            </w:r>
          </w:p>
        </w:tc>
        <w:tc>
          <w:tcPr>
            <w:tcW w:w="690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hint="eastAsia" w:ascii="宋体" w:cs="宋体"/>
                <w:kern w:val="0"/>
                <w:sz w:val="21"/>
                <w:lang w:val="zh-CN"/>
              </w:rPr>
              <w:t>在校期间累计三门及以上课程考核不及格不做毕业处理。</w:t>
            </w:r>
          </w:p>
        </w:tc>
      </w:tr>
      <w:tr>
        <w:tblPrEx>
          <w:tblCellMar>
            <w:top w:w="0" w:type="dxa"/>
            <w:left w:w="108" w:type="dxa"/>
            <w:bottom w:w="0" w:type="dxa"/>
            <w:right w:w="108" w:type="dxa"/>
          </w:tblCellMar>
        </w:tblPrEx>
        <w:trPr>
          <w:trHeight w:val="1591" w:hRule="atLeast"/>
          <w:jc w:val="center"/>
        </w:trPr>
        <w:tc>
          <w:tcPr>
            <w:tcW w:w="1026"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70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素质</w:t>
            </w:r>
          </w:p>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要求</w:t>
            </w:r>
          </w:p>
        </w:tc>
        <w:tc>
          <w:tcPr>
            <w:tcW w:w="12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hint="eastAsia" w:ascii="宋体" w:cs="宋体"/>
                <w:kern w:val="0"/>
                <w:sz w:val="21"/>
                <w:lang w:val="zh-CN"/>
              </w:rPr>
              <w:t>人文素质</w:t>
            </w:r>
          </w:p>
        </w:tc>
        <w:tc>
          <w:tcPr>
            <w:tcW w:w="56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ascii="宋体" w:cs="宋体"/>
                <w:kern w:val="0"/>
                <w:sz w:val="21"/>
                <w:lang w:val="zh-CN"/>
              </w:rPr>
              <w:t>1.</w:t>
            </w:r>
            <w:r>
              <w:rPr>
                <w:rFonts w:hint="eastAsia" w:ascii="宋体" w:cs="宋体"/>
                <w:kern w:val="0"/>
                <w:sz w:val="21"/>
                <w:lang w:val="zh-CN"/>
              </w:rPr>
              <w:t>了解历史、文学、政治、法律、哲学、道德、语言等基本知识；</w:t>
            </w:r>
          </w:p>
          <w:p>
            <w:pPr>
              <w:autoSpaceDE w:val="0"/>
              <w:autoSpaceDN w:val="0"/>
              <w:spacing w:line="240" w:lineRule="auto"/>
              <w:ind w:firstLine="0"/>
              <w:rPr>
                <w:rFonts w:ascii="宋体" w:cs="宋体"/>
                <w:kern w:val="0"/>
                <w:sz w:val="21"/>
                <w:lang w:val="zh-CN"/>
              </w:rPr>
            </w:pPr>
            <w:r>
              <w:rPr>
                <w:rFonts w:ascii="宋体" w:cs="宋体"/>
                <w:kern w:val="0"/>
                <w:sz w:val="21"/>
                <w:lang w:val="zh-CN"/>
              </w:rPr>
              <w:t>2.</w:t>
            </w:r>
            <w:r>
              <w:rPr>
                <w:rFonts w:hint="eastAsia" w:ascii="宋体" w:cs="宋体"/>
                <w:kern w:val="0"/>
                <w:sz w:val="21"/>
                <w:lang w:val="zh-CN"/>
              </w:rPr>
              <w:t>工作中主张以人为本，重视人的价值，尊重人的尊严和权利，关怀人的现实生活，追求人的自由和平等。</w:t>
            </w:r>
          </w:p>
        </w:tc>
      </w:tr>
      <w:tr>
        <w:tblPrEx>
          <w:tblCellMar>
            <w:top w:w="0" w:type="dxa"/>
            <w:left w:w="108" w:type="dxa"/>
            <w:bottom w:w="0" w:type="dxa"/>
            <w:right w:w="108" w:type="dxa"/>
          </w:tblCellMar>
        </w:tblPrEx>
        <w:trPr>
          <w:trHeight w:val="75" w:hRule="atLeast"/>
          <w:jc w:val="center"/>
        </w:trPr>
        <w:tc>
          <w:tcPr>
            <w:tcW w:w="1026"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706"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2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职业素质</w:t>
            </w:r>
          </w:p>
        </w:tc>
        <w:tc>
          <w:tcPr>
            <w:tcW w:w="567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r>
              <w:rPr>
                <w:rFonts w:ascii="宋体" w:cs="宋体"/>
                <w:kern w:val="0"/>
                <w:sz w:val="21"/>
                <w:lang w:val="zh-CN"/>
              </w:rPr>
              <w:t>1.</w:t>
            </w:r>
            <w:r>
              <w:rPr>
                <w:rFonts w:hint="eastAsia" w:ascii="宋体" w:cs="宋体"/>
                <w:kern w:val="0"/>
                <w:sz w:val="21"/>
                <w:lang w:val="zh-CN"/>
              </w:rPr>
              <w:t>有正确的职业理想，有较高的职业品质和崇高的职业奉献精神，有尊重领导、团结协作的团队精神。</w:t>
            </w:r>
          </w:p>
          <w:p>
            <w:pPr>
              <w:autoSpaceDE w:val="0"/>
              <w:autoSpaceDN w:val="0"/>
              <w:spacing w:line="240" w:lineRule="auto"/>
              <w:ind w:firstLine="0"/>
              <w:jc w:val="left"/>
              <w:rPr>
                <w:rFonts w:ascii="宋体" w:cs="宋体"/>
                <w:kern w:val="0"/>
                <w:sz w:val="21"/>
                <w:lang w:val="zh-CN"/>
              </w:rPr>
            </w:pPr>
            <w:r>
              <w:rPr>
                <w:rFonts w:ascii="宋体" w:cs="宋体"/>
                <w:kern w:val="0"/>
                <w:sz w:val="21"/>
                <w:lang w:val="zh-CN"/>
              </w:rPr>
              <w:t>2.</w:t>
            </w:r>
            <w:r>
              <w:rPr>
                <w:rFonts w:hint="eastAsia" w:ascii="宋体" w:cs="宋体"/>
                <w:kern w:val="0"/>
                <w:sz w:val="21"/>
                <w:lang w:val="zh-CN"/>
              </w:rPr>
              <w:t>具有较扎实、全面的专业岗位知识。</w:t>
            </w:r>
          </w:p>
          <w:p>
            <w:pPr>
              <w:autoSpaceDE w:val="0"/>
              <w:autoSpaceDN w:val="0"/>
              <w:spacing w:line="240" w:lineRule="auto"/>
              <w:ind w:firstLine="0"/>
              <w:jc w:val="left"/>
              <w:rPr>
                <w:rFonts w:ascii="宋体" w:cs="宋体"/>
                <w:kern w:val="0"/>
                <w:sz w:val="21"/>
                <w:lang w:val="zh-CN"/>
              </w:rPr>
            </w:pPr>
            <w:r>
              <w:rPr>
                <w:rFonts w:ascii="宋体" w:cs="宋体"/>
                <w:kern w:val="0"/>
                <w:sz w:val="21"/>
                <w:lang w:val="zh-CN"/>
              </w:rPr>
              <w:t>3.</w:t>
            </w:r>
            <w:r>
              <w:rPr>
                <w:rFonts w:hint="eastAsia" w:ascii="宋体" w:cs="宋体"/>
                <w:kern w:val="0"/>
                <w:sz w:val="21"/>
                <w:lang w:val="zh-CN"/>
              </w:rPr>
              <w:t>有较强的组织、协调、指挥、管理能力。</w:t>
            </w:r>
          </w:p>
          <w:p>
            <w:pPr>
              <w:autoSpaceDE w:val="0"/>
              <w:autoSpaceDN w:val="0"/>
              <w:spacing w:line="240" w:lineRule="auto"/>
              <w:ind w:firstLine="0"/>
              <w:jc w:val="left"/>
              <w:rPr>
                <w:rFonts w:ascii="宋体" w:cs="宋体"/>
                <w:kern w:val="0"/>
                <w:sz w:val="21"/>
                <w:lang w:val="zh-CN"/>
              </w:rPr>
            </w:pPr>
            <w:r>
              <w:rPr>
                <w:rFonts w:ascii="宋体" w:cs="宋体"/>
                <w:kern w:val="0"/>
                <w:sz w:val="21"/>
                <w:lang w:val="zh-CN"/>
              </w:rPr>
              <w:t>4.</w:t>
            </w:r>
            <w:r>
              <w:rPr>
                <w:rFonts w:hint="eastAsia" w:ascii="宋体" w:cs="宋体"/>
                <w:kern w:val="0"/>
                <w:sz w:val="21"/>
                <w:lang w:val="zh-CN"/>
              </w:rPr>
              <w:t>具备较扎实的专业知识和专业技能，掌握行业发展方向，具有科学精神、求知欲望和创新意识。</w:t>
            </w:r>
          </w:p>
        </w:tc>
      </w:tr>
      <w:tr>
        <w:tblPrEx>
          <w:tblCellMar>
            <w:top w:w="0" w:type="dxa"/>
            <w:left w:w="108" w:type="dxa"/>
            <w:bottom w:w="0" w:type="dxa"/>
            <w:right w:w="108" w:type="dxa"/>
          </w:tblCellMar>
        </w:tblPrEx>
        <w:trPr>
          <w:trHeight w:val="1557" w:hRule="atLeast"/>
          <w:jc w:val="center"/>
        </w:trPr>
        <w:tc>
          <w:tcPr>
            <w:tcW w:w="1026"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706" w:type="dxa"/>
            <w:vMerge w:val="continue"/>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p>
        </w:tc>
        <w:tc>
          <w:tcPr>
            <w:tcW w:w="122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核心技能</w:t>
            </w:r>
          </w:p>
        </w:tc>
        <w:tc>
          <w:tcPr>
            <w:tcW w:w="56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rPr>
            </w:pPr>
            <w:r>
              <w:rPr>
                <w:rFonts w:ascii="宋体" w:cs="宋体"/>
                <w:kern w:val="0"/>
                <w:sz w:val="21"/>
              </w:rPr>
              <w:t>1</w:t>
            </w:r>
            <w:r>
              <w:rPr>
                <w:rFonts w:hint="eastAsia" w:ascii="宋体" w:cs="宋体"/>
                <w:kern w:val="0"/>
                <w:sz w:val="21"/>
              </w:rPr>
              <w:t>.</w:t>
            </w:r>
            <w:r>
              <w:rPr>
                <w:rFonts w:ascii="宋体" w:cs="宋体"/>
                <w:kern w:val="0"/>
                <w:sz w:val="21"/>
              </w:rPr>
              <w:t>具有熟知汽车结构，配件及性能的能力；</w:t>
            </w:r>
          </w:p>
          <w:p>
            <w:pPr>
              <w:autoSpaceDE w:val="0"/>
              <w:autoSpaceDN w:val="0"/>
              <w:spacing w:line="240" w:lineRule="auto"/>
              <w:ind w:firstLine="0"/>
              <w:rPr>
                <w:rFonts w:ascii="宋体" w:cs="宋体"/>
                <w:kern w:val="0"/>
                <w:sz w:val="21"/>
              </w:rPr>
            </w:pPr>
            <w:r>
              <w:rPr>
                <w:rFonts w:ascii="宋体" w:cs="宋体"/>
                <w:kern w:val="0"/>
                <w:sz w:val="21"/>
              </w:rPr>
              <w:t>2</w:t>
            </w:r>
            <w:r>
              <w:rPr>
                <w:rFonts w:hint="eastAsia" w:ascii="宋体" w:cs="宋体"/>
                <w:kern w:val="0"/>
                <w:sz w:val="21"/>
              </w:rPr>
              <w:t>.</w:t>
            </w:r>
            <w:r>
              <w:rPr>
                <w:rFonts w:ascii="宋体" w:cs="宋体"/>
                <w:kern w:val="0"/>
                <w:sz w:val="21"/>
              </w:rPr>
              <w:t>具有一定的汽车故障检测，诊断及排除能力；</w:t>
            </w:r>
          </w:p>
          <w:p>
            <w:pPr>
              <w:autoSpaceDE w:val="0"/>
              <w:autoSpaceDN w:val="0"/>
              <w:spacing w:line="240" w:lineRule="auto"/>
              <w:ind w:firstLine="0"/>
              <w:rPr>
                <w:rFonts w:ascii="宋体" w:cs="宋体"/>
                <w:kern w:val="0"/>
                <w:sz w:val="21"/>
              </w:rPr>
            </w:pPr>
            <w:r>
              <w:rPr>
                <w:rFonts w:ascii="宋体" w:cs="宋体"/>
                <w:kern w:val="0"/>
                <w:sz w:val="21"/>
              </w:rPr>
              <w:t>3</w:t>
            </w:r>
            <w:r>
              <w:rPr>
                <w:rFonts w:hint="eastAsia" w:ascii="宋体" w:cs="宋体"/>
                <w:kern w:val="0"/>
                <w:sz w:val="21"/>
              </w:rPr>
              <w:t>.</w:t>
            </w:r>
            <w:r>
              <w:rPr>
                <w:rFonts w:ascii="宋体" w:cs="宋体"/>
                <w:kern w:val="0"/>
                <w:sz w:val="21"/>
              </w:rPr>
              <w:t>能够熟练的完成汽车养护工作；</w:t>
            </w:r>
          </w:p>
          <w:p>
            <w:pPr>
              <w:autoSpaceDE w:val="0"/>
              <w:autoSpaceDN w:val="0"/>
              <w:spacing w:line="240" w:lineRule="auto"/>
              <w:ind w:firstLine="0"/>
              <w:rPr>
                <w:rFonts w:ascii="宋体" w:cs="宋体"/>
                <w:kern w:val="0"/>
                <w:sz w:val="21"/>
              </w:rPr>
            </w:pPr>
            <w:r>
              <w:rPr>
                <w:rFonts w:hint="eastAsia" w:ascii="宋体" w:cs="宋体"/>
                <w:kern w:val="0"/>
                <w:sz w:val="21"/>
              </w:rPr>
              <w:t>4</w:t>
            </w:r>
            <w:r>
              <w:rPr>
                <w:rFonts w:ascii="宋体" w:cs="宋体"/>
                <w:kern w:val="0"/>
                <w:sz w:val="21"/>
              </w:rPr>
              <w:t>.</w:t>
            </w:r>
            <w:r>
              <w:rPr>
                <w:rFonts w:hint="eastAsia" w:ascii="宋体" w:cs="宋体"/>
                <w:kern w:val="0"/>
                <w:sz w:val="21"/>
                <w:lang w:val="zh-CN"/>
              </w:rPr>
              <w:t>具备汽车装配与调试能力；</w:t>
            </w:r>
          </w:p>
          <w:p>
            <w:pPr>
              <w:autoSpaceDE w:val="0"/>
              <w:autoSpaceDN w:val="0"/>
              <w:spacing w:line="240" w:lineRule="auto"/>
              <w:ind w:firstLine="0"/>
              <w:rPr>
                <w:rFonts w:ascii="宋体" w:cs="宋体"/>
                <w:kern w:val="0"/>
                <w:sz w:val="21"/>
                <w:lang w:val="zh-CN"/>
              </w:rPr>
            </w:pPr>
            <w:r>
              <w:rPr>
                <w:rFonts w:hint="eastAsia" w:ascii="宋体" w:cs="宋体"/>
                <w:kern w:val="0"/>
                <w:sz w:val="21"/>
              </w:rPr>
              <w:t>5</w:t>
            </w:r>
            <w:r>
              <w:rPr>
                <w:rFonts w:ascii="宋体" w:cs="宋体"/>
                <w:kern w:val="0"/>
                <w:sz w:val="21"/>
              </w:rPr>
              <w:t>.</w:t>
            </w:r>
            <w:r>
              <w:rPr>
                <w:rFonts w:hint="eastAsia" w:ascii="宋体" w:cs="宋体"/>
                <w:kern w:val="0"/>
                <w:sz w:val="21"/>
              </w:rPr>
              <w:t>具备</w:t>
            </w:r>
            <w:r>
              <w:rPr>
                <w:rFonts w:hint="eastAsia" w:ascii="宋体" w:cs="宋体"/>
                <w:kern w:val="0"/>
                <w:sz w:val="21"/>
                <w:lang w:val="zh-CN"/>
              </w:rPr>
              <w:t>汽车车身修复能力</w:t>
            </w:r>
          </w:p>
        </w:tc>
      </w:tr>
      <w:tr>
        <w:tblPrEx>
          <w:tblCellMar>
            <w:top w:w="0" w:type="dxa"/>
            <w:left w:w="108" w:type="dxa"/>
            <w:bottom w:w="0" w:type="dxa"/>
            <w:right w:w="108" w:type="dxa"/>
          </w:tblCellMar>
        </w:tblPrEx>
        <w:trPr>
          <w:trHeight w:val="1" w:hRule="atLeast"/>
          <w:jc w:val="center"/>
        </w:trPr>
        <w:tc>
          <w:tcPr>
            <w:tcW w:w="10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ascii="宋体" w:cs="宋体"/>
                <w:kern w:val="0"/>
                <w:sz w:val="21"/>
                <w:lang w:val="zh-CN"/>
              </w:rPr>
              <w:t>3</w:t>
            </w:r>
          </w:p>
        </w:tc>
        <w:tc>
          <w:tcPr>
            <w:tcW w:w="1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rPr>
            </w:pPr>
            <w:r>
              <w:rPr>
                <w:rFonts w:hint="eastAsia" w:ascii="宋体" w:cs="宋体"/>
                <w:kern w:val="0"/>
                <w:sz w:val="21"/>
              </w:rPr>
              <w:t>职业资格</w:t>
            </w:r>
          </w:p>
          <w:p>
            <w:pPr>
              <w:autoSpaceDE w:val="0"/>
              <w:autoSpaceDN w:val="0"/>
              <w:spacing w:line="240" w:lineRule="auto"/>
              <w:ind w:firstLine="0"/>
              <w:jc w:val="center"/>
              <w:rPr>
                <w:rFonts w:ascii="宋体" w:cs="宋体"/>
                <w:kern w:val="0"/>
                <w:sz w:val="21"/>
              </w:rPr>
            </w:pPr>
            <w:r>
              <w:rPr>
                <w:rFonts w:hint="eastAsia" w:ascii="宋体" w:cs="宋体"/>
                <w:kern w:val="0"/>
                <w:sz w:val="21"/>
              </w:rPr>
              <w:t>证书要求</w:t>
            </w:r>
          </w:p>
        </w:tc>
        <w:tc>
          <w:tcPr>
            <w:tcW w:w="690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rPr>
                <w:rFonts w:ascii="宋体" w:cs="宋体"/>
                <w:kern w:val="0"/>
                <w:sz w:val="21"/>
                <w:lang w:val="zh-CN"/>
              </w:rPr>
            </w:pPr>
            <w:r>
              <w:rPr>
                <w:rFonts w:hint="eastAsia" w:ascii="宋体" w:cs="宋体"/>
                <w:kern w:val="0"/>
                <w:sz w:val="21"/>
                <w:lang w:val="zh-CN"/>
              </w:rPr>
              <w:t>汽车机械维修工、汽车电器维修工、汽车维修检验工</w:t>
            </w:r>
          </w:p>
        </w:tc>
      </w:tr>
      <w:tr>
        <w:tblPrEx>
          <w:tblCellMar>
            <w:top w:w="0" w:type="dxa"/>
            <w:left w:w="108" w:type="dxa"/>
            <w:bottom w:w="0" w:type="dxa"/>
            <w:right w:w="108" w:type="dxa"/>
          </w:tblCellMar>
        </w:tblPrEx>
        <w:trPr>
          <w:trHeight w:val="654" w:hRule="atLeast"/>
          <w:jc w:val="center"/>
        </w:trPr>
        <w:tc>
          <w:tcPr>
            <w:tcW w:w="10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ascii="宋体" w:cs="宋体"/>
                <w:kern w:val="0"/>
                <w:sz w:val="21"/>
                <w:lang w:val="zh-CN"/>
              </w:rPr>
              <w:t>4</w:t>
            </w:r>
          </w:p>
        </w:tc>
        <w:tc>
          <w:tcPr>
            <w:tcW w:w="17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240" w:lineRule="auto"/>
              <w:ind w:firstLine="0"/>
              <w:jc w:val="center"/>
              <w:rPr>
                <w:rFonts w:ascii="宋体" w:cs="宋体"/>
                <w:kern w:val="0"/>
                <w:sz w:val="21"/>
                <w:lang w:val="zh-CN"/>
              </w:rPr>
            </w:pPr>
            <w:r>
              <w:rPr>
                <w:rFonts w:hint="eastAsia" w:ascii="宋体" w:cs="宋体"/>
                <w:kern w:val="0"/>
                <w:sz w:val="21"/>
                <w:lang w:val="zh-CN"/>
              </w:rPr>
              <w:t>学生量化考核成绩要求</w:t>
            </w:r>
          </w:p>
        </w:tc>
        <w:tc>
          <w:tcPr>
            <w:tcW w:w="690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240" w:lineRule="auto"/>
              <w:ind w:firstLine="0"/>
              <w:jc w:val="left"/>
              <w:rPr>
                <w:rFonts w:ascii="宋体" w:cs="宋体"/>
                <w:kern w:val="0"/>
                <w:sz w:val="21"/>
                <w:lang w:val="zh-CN"/>
              </w:rPr>
            </w:pPr>
            <w:r>
              <w:rPr>
                <w:rFonts w:hint="eastAsia" w:ascii="宋体" w:cs="宋体"/>
                <w:kern w:val="0"/>
                <w:sz w:val="21"/>
                <w:lang w:val="zh-CN"/>
              </w:rPr>
              <w:t>在校期间无记大过及以上处罚或处罚已取消；</w:t>
            </w:r>
          </w:p>
          <w:p>
            <w:pPr>
              <w:autoSpaceDE w:val="0"/>
              <w:autoSpaceDN w:val="0"/>
              <w:spacing w:line="240" w:lineRule="auto"/>
              <w:ind w:firstLine="0"/>
              <w:jc w:val="left"/>
              <w:rPr>
                <w:rFonts w:ascii="宋体" w:cs="宋体"/>
                <w:kern w:val="0"/>
                <w:sz w:val="21"/>
                <w:lang w:val="zh-CN"/>
              </w:rPr>
            </w:pPr>
            <w:r>
              <w:rPr>
                <w:rFonts w:hint="eastAsia" w:ascii="宋体" w:cs="宋体"/>
                <w:kern w:val="0"/>
                <w:sz w:val="21"/>
                <w:lang w:val="zh-CN"/>
              </w:rPr>
              <w:t>在校期间各学期学生量化考核成绩均在合格及以上等级。</w:t>
            </w:r>
          </w:p>
        </w:tc>
      </w:tr>
    </w:tbl>
    <w:p>
      <w:pPr>
        <w:overflowPunct w:val="0"/>
        <w:spacing w:before="200" w:beforeLines="50"/>
        <w:ind w:firstLine="600" w:firstLineChars="200"/>
        <w:rPr>
          <w:rFonts w:ascii="仿宋" w:hAnsi="仿宋" w:eastAsia="仿宋" w:cs="仿宋"/>
          <w:sz w:val="30"/>
          <w:szCs w:val="30"/>
        </w:rPr>
      </w:pPr>
      <w:r>
        <w:rPr>
          <w:rFonts w:hint="eastAsia" w:ascii="黑体" w:hAnsi="黑体" w:eastAsia="黑体"/>
          <w:sz w:val="30"/>
          <w:szCs w:val="30"/>
        </w:rPr>
        <w:t>十、接续专业</w:t>
      </w:r>
    </w:p>
    <w:p>
      <w:pPr>
        <w:overflowPunct w:val="0"/>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接续高职专科专业：汽车检测与维修技术、新能源汽车检测与维修技术、汽车电子技术。</w:t>
      </w:r>
    </w:p>
    <w:p>
      <w:pPr>
        <w:overflowPunct w:val="0"/>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接续高职本科专业：汽车服务工程技术、新能源汽车工程技术。</w:t>
      </w:r>
    </w:p>
    <w:p>
      <w:pPr>
        <w:overflowPunct w:val="0"/>
        <w:spacing w:line="560" w:lineRule="atLeast"/>
        <w:ind w:firstLine="600" w:firstLineChars="200"/>
        <w:rPr>
          <w:sz w:val="28"/>
          <w:szCs w:val="28"/>
        </w:rPr>
      </w:pPr>
      <w:r>
        <w:rPr>
          <w:rFonts w:hint="eastAsia" w:ascii="仿宋" w:hAnsi="仿宋" w:eastAsia="仿宋" w:cs="仿宋"/>
          <w:sz w:val="30"/>
          <w:szCs w:val="30"/>
        </w:rPr>
        <w:t>接续普通本科专业：车辆工程、新能源汽车工程。</w:t>
      </w: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TimesNewRoman">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12</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12</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261F"/>
    <w:rsid w:val="00034A66"/>
    <w:rsid w:val="00035AA3"/>
    <w:rsid w:val="00035F84"/>
    <w:rsid w:val="000361AF"/>
    <w:rsid w:val="00037A6E"/>
    <w:rsid w:val="00040759"/>
    <w:rsid w:val="00041696"/>
    <w:rsid w:val="00042D33"/>
    <w:rsid w:val="00043A44"/>
    <w:rsid w:val="00044EF7"/>
    <w:rsid w:val="0004555E"/>
    <w:rsid w:val="00045C9C"/>
    <w:rsid w:val="0004722E"/>
    <w:rsid w:val="0005082E"/>
    <w:rsid w:val="00051182"/>
    <w:rsid w:val="00051289"/>
    <w:rsid w:val="000569B7"/>
    <w:rsid w:val="00060BC7"/>
    <w:rsid w:val="00061A0E"/>
    <w:rsid w:val="000628FE"/>
    <w:rsid w:val="00063862"/>
    <w:rsid w:val="00063C74"/>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056"/>
    <w:rsid w:val="000C03C0"/>
    <w:rsid w:val="000C161B"/>
    <w:rsid w:val="000C202A"/>
    <w:rsid w:val="000C3706"/>
    <w:rsid w:val="000C43AC"/>
    <w:rsid w:val="000C4944"/>
    <w:rsid w:val="000C5436"/>
    <w:rsid w:val="000C7A4C"/>
    <w:rsid w:val="000D2E83"/>
    <w:rsid w:val="000D3901"/>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364F2"/>
    <w:rsid w:val="00146A66"/>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200"/>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384F"/>
    <w:rsid w:val="00235C47"/>
    <w:rsid w:val="00235E1F"/>
    <w:rsid w:val="0023608E"/>
    <w:rsid w:val="00236441"/>
    <w:rsid w:val="00237993"/>
    <w:rsid w:val="00237EDE"/>
    <w:rsid w:val="002410A6"/>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221"/>
    <w:rsid w:val="0030139C"/>
    <w:rsid w:val="00302827"/>
    <w:rsid w:val="00303185"/>
    <w:rsid w:val="00303189"/>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550A"/>
    <w:rsid w:val="00366B16"/>
    <w:rsid w:val="00366B3E"/>
    <w:rsid w:val="00367596"/>
    <w:rsid w:val="0037098E"/>
    <w:rsid w:val="00372521"/>
    <w:rsid w:val="003759F9"/>
    <w:rsid w:val="00376580"/>
    <w:rsid w:val="00380522"/>
    <w:rsid w:val="00381E15"/>
    <w:rsid w:val="003828B9"/>
    <w:rsid w:val="003834AE"/>
    <w:rsid w:val="00383DF2"/>
    <w:rsid w:val="00384104"/>
    <w:rsid w:val="00384432"/>
    <w:rsid w:val="003849B9"/>
    <w:rsid w:val="00386355"/>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1D41"/>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A7A70"/>
    <w:rsid w:val="004B3C94"/>
    <w:rsid w:val="004B747E"/>
    <w:rsid w:val="004C007E"/>
    <w:rsid w:val="004C619F"/>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47E"/>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85D2B"/>
    <w:rsid w:val="005909C8"/>
    <w:rsid w:val="0059262F"/>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0554"/>
    <w:rsid w:val="00781B3E"/>
    <w:rsid w:val="00782967"/>
    <w:rsid w:val="007840D4"/>
    <w:rsid w:val="00784F12"/>
    <w:rsid w:val="00785089"/>
    <w:rsid w:val="0078558C"/>
    <w:rsid w:val="00786A9B"/>
    <w:rsid w:val="00792A69"/>
    <w:rsid w:val="00794629"/>
    <w:rsid w:val="00795D9B"/>
    <w:rsid w:val="00796919"/>
    <w:rsid w:val="007A3B04"/>
    <w:rsid w:val="007A412F"/>
    <w:rsid w:val="007A54FE"/>
    <w:rsid w:val="007B0915"/>
    <w:rsid w:val="007B5202"/>
    <w:rsid w:val="007B6277"/>
    <w:rsid w:val="007C227D"/>
    <w:rsid w:val="007C4C3C"/>
    <w:rsid w:val="007C5264"/>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363E5"/>
    <w:rsid w:val="0084115E"/>
    <w:rsid w:val="00841819"/>
    <w:rsid w:val="00845FCA"/>
    <w:rsid w:val="008508EC"/>
    <w:rsid w:val="008512E0"/>
    <w:rsid w:val="00851327"/>
    <w:rsid w:val="008523F4"/>
    <w:rsid w:val="0085604E"/>
    <w:rsid w:val="00860355"/>
    <w:rsid w:val="0086255D"/>
    <w:rsid w:val="0086651E"/>
    <w:rsid w:val="0087121D"/>
    <w:rsid w:val="00871A4A"/>
    <w:rsid w:val="008733E2"/>
    <w:rsid w:val="00873F22"/>
    <w:rsid w:val="00874370"/>
    <w:rsid w:val="0087580B"/>
    <w:rsid w:val="00876C08"/>
    <w:rsid w:val="00882604"/>
    <w:rsid w:val="00882FF3"/>
    <w:rsid w:val="0088371E"/>
    <w:rsid w:val="00893DD0"/>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1A27"/>
    <w:rsid w:val="00912456"/>
    <w:rsid w:val="00916F34"/>
    <w:rsid w:val="009176FC"/>
    <w:rsid w:val="0091793D"/>
    <w:rsid w:val="00920821"/>
    <w:rsid w:val="00920FAB"/>
    <w:rsid w:val="009266BE"/>
    <w:rsid w:val="009325F9"/>
    <w:rsid w:val="00932E47"/>
    <w:rsid w:val="00934EB6"/>
    <w:rsid w:val="00940B5F"/>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45AC4"/>
    <w:rsid w:val="00A51B12"/>
    <w:rsid w:val="00A5221F"/>
    <w:rsid w:val="00A528E0"/>
    <w:rsid w:val="00A566B6"/>
    <w:rsid w:val="00A6126C"/>
    <w:rsid w:val="00A62C42"/>
    <w:rsid w:val="00A65450"/>
    <w:rsid w:val="00A65FE3"/>
    <w:rsid w:val="00A7451E"/>
    <w:rsid w:val="00A757A0"/>
    <w:rsid w:val="00A75E59"/>
    <w:rsid w:val="00A7616C"/>
    <w:rsid w:val="00A777E5"/>
    <w:rsid w:val="00A87443"/>
    <w:rsid w:val="00A8756B"/>
    <w:rsid w:val="00A92BF5"/>
    <w:rsid w:val="00A93058"/>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75"/>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08E"/>
    <w:rsid w:val="00BB7900"/>
    <w:rsid w:val="00BB7D9D"/>
    <w:rsid w:val="00BC4BE9"/>
    <w:rsid w:val="00BD1A74"/>
    <w:rsid w:val="00BD267A"/>
    <w:rsid w:val="00BD340B"/>
    <w:rsid w:val="00BE0710"/>
    <w:rsid w:val="00BE0C73"/>
    <w:rsid w:val="00BE1A27"/>
    <w:rsid w:val="00BE3414"/>
    <w:rsid w:val="00BE5D96"/>
    <w:rsid w:val="00BE632E"/>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0F32"/>
    <w:rsid w:val="00C93075"/>
    <w:rsid w:val="00C942CD"/>
    <w:rsid w:val="00C96B4E"/>
    <w:rsid w:val="00C96C07"/>
    <w:rsid w:val="00CA1A7F"/>
    <w:rsid w:val="00CA2C38"/>
    <w:rsid w:val="00CB0C35"/>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E7D58"/>
    <w:rsid w:val="00CF17E3"/>
    <w:rsid w:val="00CF28AE"/>
    <w:rsid w:val="00CF437C"/>
    <w:rsid w:val="00CF6D83"/>
    <w:rsid w:val="00CF70A7"/>
    <w:rsid w:val="00D01AE0"/>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42D6"/>
    <w:rsid w:val="00D6685C"/>
    <w:rsid w:val="00D6764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44E6"/>
    <w:rsid w:val="00DA6FE6"/>
    <w:rsid w:val="00DA70B9"/>
    <w:rsid w:val="00DA7707"/>
    <w:rsid w:val="00DB0251"/>
    <w:rsid w:val="00DB1349"/>
    <w:rsid w:val="00DB663D"/>
    <w:rsid w:val="00DC237A"/>
    <w:rsid w:val="00DC3175"/>
    <w:rsid w:val="00DC5A95"/>
    <w:rsid w:val="00DD25CB"/>
    <w:rsid w:val="00DD2B04"/>
    <w:rsid w:val="00DD3CA7"/>
    <w:rsid w:val="00DD433B"/>
    <w:rsid w:val="00DD7AA9"/>
    <w:rsid w:val="00DE0A34"/>
    <w:rsid w:val="00DE1DAC"/>
    <w:rsid w:val="00DE5B9C"/>
    <w:rsid w:val="00DF0E96"/>
    <w:rsid w:val="00DF2148"/>
    <w:rsid w:val="00DF3B0E"/>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4E44"/>
    <w:rsid w:val="00E3533E"/>
    <w:rsid w:val="00E35902"/>
    <w:rsid w:val="00E36070"/>
    <w:rsid w:val="00E43CD3"/>
    <w:rsid w:val="00E45BE5"/>
    <w:rsid w:val="00E46AA6"/>
    <w:rsid w:val="00E506D9"/>
    <w:rsid w:val="00E50C06"/>
    <w:rsid w:val="00E5358C"/>
    <w:rsid w:val="00E53638"/>
    <w:rsid w:val="00E63FA3"/>
    <w:rsid w:val="00E661F4"/>
    <w:rsid w:val="00E6634A"/>
    <w:rsid w:val="00E67FAB"/>
    <w:rsid w:val="00E705EF"/>
    <w:rsid w:val="00E80375"/>
    <w:rsid w:val="00E81D78"/>
    <w:rsid w:val="00E82BDD"/>
    <w:rsid w:val="00E84A2C"/>
    <w:rsid w:val="00E93728"/>
    <w:rsid w:val="00E97929"/>
    <w:rsid w:val="00EA13A8"/>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221"/>
    <w:rsid w:val="00EF7677"/>
    <w:rsid w:val="00F01D66"/>
    <w:rsid w:val="00F03208"/>
    <w:rsid w:val="00F06D65"/>
    <w:rsid w:val="00F155B5"/>
    <w:rsid w:val="00F15E19"/>
    <w:rsid w:val="00F178B4"/>
    <w:rsid w:val="00F17D48"/>
    <w:rsid w:val="00F17DAD"/>
    <w:rsid w:val="00F20496"/>
    <w:rsid w:val="00F27BD5"/>
    <w:rsid w:val="00F343D2"/>
    <w:rsid w:val="00F35E56"/>
    <w:rsid w:val="00F40C17"/>
    <w:rsid w:val="00F44BAD"/>
    <w:rsid w:val="00F45969"/>
    <w:rsid w:val="00F5127C"/>
    <w:rsid w:val="00F5237E"/>
    <w:rsid w:val="00F52C93"/>
    <w:rsid w:val="00F5385B"/>
    <w:rsid w:val="00F53B74"/>
    <w:rsid w:val="00F53D16"/>
    <w:rsid w:val="00F54157"/>
    <w:rsid w:val="00F60C67"/>
    <w:rsid w:val="00F6260E"/>
    <w:rsid w:val="00F726CC"/>
    <w:rsid w:val="00F72729"/>
    <w:rsid w:val="00F744A1"/>
    <w:rsid w:val="00F74E58"/>
    <w:rsid w:val="00F75BB0"/>
    <w:rsid w:val="00F770EF"/>
    <w:rsid w:val="00F77412"/>
    <w:rsid w:val="00F815FD"/>
    <w:rsid w:val="00F86FF8"/>
    <w:rsid w:val="00F87615"/>
    <w:rsid w:val="00F9002B"/>
    <w:rsid w:val="00F91659"/>
    <w:rsid w:val="00F91F26"/>
    <w:rsid w:val="00F931CC"/>
    <w:rsid w:val="00F948F6"/>
    <w:rsid w:val="00F94DC0"/>
    <w:rsid w:val="00F94F40"/>
    <w:rsid w:val="00F95BD5"/>
    <w:rsid w:val="00FA09F6"/>
    <w:rsid w:val="00FA0A50"/>
    <w:rsid w:val="00FA0E15"/>
    <w:rsid w:val="00FA12F2"/>
    <w:rsid w:val="00FA165C"/>
    <w:rsid w:val="00FB1968"/>
    <w:rsid w:val="00FB4970"/>
    <w:rsid w:val="00FB62B2"/>
    <w:rsid w:val="00FB6D13"/>
    <w:rsid w:val="00FB79BF"/>
    <w:rsid w:val="00FC12BD"/>
    <w:rsid w:val="00FC7137"/>
    <w:rsid w:val="00FD03E0"/>
    <w:rsid w:val="00FD060E"/>
    <w:rsid w:val="00FD1ACB"/>
    <w:rsid w:val="00FE020C"/>
    <w:rsid w:val="00FE1C02"/>
    <w:rsid w:val="00FE268B"/>
    <w:rsid w:val="00FE7587"/>
    <w:rsid w:val="00FE7A3D"/>
    <w:rsid w:val="00FF2AA3"/>
    <w:rsid w:val="00FF6286"/>
    <w:rsid w:val="00FF6843"/>
    <w:rsid w:val="01A16E8E"/>
    <w:rsid w:val="041E22FB"/>
    <w:rsid w:val="04BB7ED2"/>
    <w:rsid w:val="0843749E"/>
    <w:rsid w:val="0BB03F6E"/>
    <w:rsid w:val="0CE322D0"/>
    <w:rsid w:val="0D2F21E6"/>
    <w:rsid w:val="0D732B2C"/>
    <w:rsid w:val="0E1108AC"/>
    <w:rsid w:val="0E224237"/>
    <w:rsid w:val="0E423199"/>
    <w:rsid w:val="0EAA0375"/>
    <w:rsid w:val="0EEC79C5"/>
    <w:rsid w:val="0F5509B0"/>
    <w:rsid w:val="108452C1"/>
    <w:rsid w:val="11A9611E"/>
    <w:rsid w:val="1248188D"/>
    <w:rsid w:val="15BF16CB"/>
    <w:rsid w:val="1739003E"/>
    <w:rsid w:val="17442A96"/>
    <w:rsid w:val="17461261"/>
    <w:rsid w:val="17B97ABD"/>
    <w:rsid w:val="18422604"/>
    <w:rsid w:val="19EC6BD7"/>
    <w:rsid w:val="1A741289"/>
    <w:rsid w:val="1ABD1DF6"/>
    <w:rsid w:val="1B1A2373"/>
    <w:rsid w:val="1BA522ED"/>
    <w:rsid w:val="1BD4016E"/>
    <w:rsid w:val="1D1522F2"/>
    <w:rsid w:val="1D912C10"/>
    <w:rsid w:val="208E5E96"/>
    <w:rsid w:val="2120368E"/>
    <w:rsid w:val="21982431"/>
    <w:rsid w:val="21A50B57"/>
    <w:rsid w:val="24CD1C80"/>
    <w:rsid w:val="251444C7"/>
    <w:rsid w:val="27BD5803"/>
    <w:rsid w:val="287D718B"/>
    <w:rsid w:val="289730BA"/>
    <w:rsid w:val="28AA222B"/>
    <w:rsid w:val="29A9603F"/>
    <w:rsid w:val="29F73A25"/>
    <w:rsid w:val="2A135BAE"/>
    <w:rsid w:val="2B84745F"/>
    <w:rsid w:val="2BBC622D"/>
    <w:rsid w:val="2BD73F0E"/>
    <w:rsid w:val="2CD15DCE"/>
    <w:rsid w:val="2D9554F2"/>
    <w:rsid w:val="2E2E745B"/>
    <w:rsid w:val="2ED07704"/>
    <w:rsid w:val="3140197F"/>
    <w:rsid w:val="31484652"/>
    <w:rsid w:val="371043AE"/>
    <w:rsid w:val="3AA41AE8"/>
    <w:rsid w:val="3AC71D0D"/>
    <w:rsid w:val="3B48444D"/>
    <w:rsid w:val="3BD17633"/>
    <w:rsid w:val="3E496D17"/>
    <w:rsid w:val="3EF9251F"/>
    <w:rsid w:val="3F9D3335"/>
    <w:rsid w:val="3FEA4211"/>
    <w:rsid w:val="4069269E"/>
    <w:rsid w:val="439F2829"/>
    <w:rsid w:val="43FC76CD"/>
    <w:rsid w:val="45233CAF"/>
    <w:rsid w:val="46EB3CE3"/>
    <w:rsid w:val="47E70106"/>
    <w:rsid w:val="482E5121"/>
    <w:rsid w:val="4897331F"/>
    <w:rsid w:val="48CD7A4F"/>
    <w:rsid w:val="498B60E9"/>
    <w:rsid w:val="4A6921BC"/>
    <w:rsid w:val="4B1135EE"/>
    <w:rsid w:val="4C24381D"/>
    <w:rsid w:val="4D8F7605"/>
    <w:rsid w:val="4E1D32BD"/>
    <w:rsid w:val="50493828"/>
    <w:rsid w:val="56093997"/>
    <w:rsid w:val="56332FB1"/>
    <w:rsid w:val="57262899"/>
    <w:rsid w:val="572B1A2F"/>
    <w:rsid w:val="58306F9A"/>
    <w:rsid w:val="58FA61CD"/>
    <w:rsid w:val="5A9600C8"/>
    <w:rsid w:val="5BCA7F13"/>
    <w:rsid w:val="5C070382"/>
    <w:rsid w:val="5DFF6AED"/>
    <w:rsid w:val="5E1F0D3F"/>
    <w:rsid w:val="5E93607C"/>
    <w:rsid w:val="610619ED"/>
    <w:rsid w:val="61D770D4"/>
    <w:rsid w:val="63085EC5"/>
    <w:rsid w:val="661A1A97"/>
    <w:rsid w:val="674C6628"/>
    <w:rsid w:val="68D8137E"/>
    <w:rsid w:val="68E50599"/>
    <w:rsid w:val="6A1A02B8"/>
    <w:rsid w:val="6D793FCA"/>
    <w:rsid w:val="6E2816DE"/>
    <w:rsid w:val="6FFF2863"/>
    <w:rsid w:val="705A1D94"/>
    <w:rsid w:val="715A029C"/>
    <w:rsid w:val="72AA7CFF"/>
    <w:rsid w:val="73701EFD"/>
    <w:rsid w:val="738F4DA6"/>
    <w:rsid w:val="73B451E2"/>
    <w:rsid w:val="749534C9"/>
    <w:rsid w:val="75137B94"/>
    <w:rsid w:val="786C6E8A"/>
    <w:rsid w:val="7878534F"/>
    <w:rsid w:val="7A0D370B"/>
    <w:rsid w:val="7C1E59E5"/>
    <w:rsid w:val="7C7B1EAF"/>
    <w:rsid w:val="7D4E6C16"/>
    <w:rsid w:val="7D7D0EC6"/>
    <w:rsid w:val="7E0E36B2"/>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字符"/>
    <w:link w:val="2"/>
    <w:qFormat/>
    <w:locked/>
    <w:uiPriority w:val="0"/>
    <w:rPr>
      <w:rFonts w:eastAsia="宋体"/>
      <w:b/>
      <w:bCs/>
      <w:kern w:val="44"/>
      <w:sz w:val="44"/>
      <w:szCs w:val="44"/>
      <w:lang w:val="en-US" w:eastAsia="zh-CN" w:bidi="ar-SA"/>
    </w:rPr>
  </w:style>
  <w:style w:type="character" w:customStyle="1" w:styleId="28">
    <w:name w:val="标题 2 字符"/>
    <w:link w:val="3"/>
    <w:qFormat/>
    <w:locked/>
    <w:uiPriority w:val="0"/>
    <w:rPr>
      <w:rFonts w:ascii="Arial" w:hAnsi="Arial" w:eastAsia="黑体" w:cs="Arial"/>
      <w:b/>
      <w:bCs/>
      <w:kern w:val="2"/>
      <w:sz w:val="32"/>
      <w:szCs w:val="32"/>
      <w:lang w:val="en-US" w:eastAsia="zh-CN" w:bidi="ar-SA"/>
    </w:rPr>
  </w:style>
  <w:style w:type="character" w:customStyle="1" w:styleId="29">
    <w:name w:val="标题 3 字符"/>
    <w:link w:val="4"/>
    <w:semiHidden/>
    <w:qFormat/>
    <w:locked/>
    <w:uiPriority w:val="0"/>
    <w:rPr>
      <w:rFonts w:eastAsia="宋体"/>
      <w:b/>
      <w:bCs/>
      <w:kern w:val="2"/>
      <w:sz w:val="32"/>
      <w:szCs w:val="32"/>
      <w:lang w:val="en-US" w:eastAsia="zh-CN" w:bidi="ar-SA"/>
    </w:rPr>
  </w:style>
  <w:style w:type="character" w:customStyle="1" w:styleId="30">
    <w:name w:val="文档结构图 字符"/>
    <w:link w:val="5"/>
    <w:locked/>
    <w:uiPriority w:val="0"/>
    <w:rPr>
      <w:rFonts w:eastAsia="宋体"/>
      <w:kern w:val="2"/>
      <w:sz w:val="24"/>
      <w:szCs w:val="24"/>
      <w:lang w:val="en-US" w:eastAsia="zh-CN" w:bidi="ar-SA"/>
    </w:rPr>
  </w:style>
  <w:style w:type="character" w:customStyle="1" w:styleId="31">
    <w:name w:val="批注文字 字符"/>
    <w:link w:val="6"/>
    <w:qFormat/>
    <w:uiPriority w:val="0"/>
    <w:rPr>
      <w:kern w:val="2"/>
      <w:sz w:val="21"/>
      <w:szCs w:val="22"/>
    </w:rPr>
  </w:style>
  <w:style w:type="character" w:customStyle="1" w:styleId="32">
    <w:name w:val="正文文本 字符"/>
    <w:link w:val="7"/>
    <w:locked/>
    <w:uiPriority w:val="0"/>
    <w:rPr>
      <w:color w:val="FF0000"/>
      <w:szCs w:val="21"/>
    </w:rPr>
  </w:style>
  <w:style w:type="character" w:customStyle="1" w:styleId="33">
    <w:name w:val="正文文本缩进 字符"/>
    <w:link w:val="8"/>
    <w:locked/>
    <w:uiPriority w:val="0"/>
    <w:rPr>
      <w:rFonts w:eastAsia="宋体"/>
      <w:kern w:val="2"/>
      <w:sz w:val="21"/>
      <w:szCs w:val="21"/>
      <w:lang w:val="en-US" w:eastAsia="zh-CN" w:bidi="ar-SA"/>
    </w:rPr>
  </w:style>
  <w:style w:type="character" w:customStyle="1" w:styleId="34">
    <w:name w:val="纯文本 字符"/>
    <w:link w:val="9"/>
    <w:qFormat/>
    <w:locked/>
    <w:uiPriority w:val="0"/>
    <w:rPr>
      <w:rFonts w:ascii="宋体" w:hAnsi="Courier New"/>
      <w:kern w:val="2"/>
      <w:sz w:val="21"/>
      <w:lang w:bidi="ar-SA"/>
    </w:rPr>
  </w:style>
  <w:style w:type="character" w:customStyle="1" w:styleId="35">
    <w:name w:val="日期 字符"/>
    <w:link w:val="10"/>
    <w:semiHidden/>
    <w:qFormat/>
    <w:locked/>
    <w:uiPriority w:val="0"/>
    <w:rPr>
      <w:rFonts w:eastAsia="宋体"/>
      <w:lang w:val="en-US" w:eastAsia="zh-CN" w:bidi="ar-SA"/>
    </w:rPr>
  </w:style>
  <w:style w:type="character" w:customStyle="1" w:styleId="36">
    <w:name w:val="正文文本缩进 2 字符"/>
    <w:link w:val="11"/>
    <w:qFormat/>
    <w:locked/>
    <w:uiPriority w:val="0"/>
    <w:rPr>
      <w:rFonts w:ascii="宋体"/>
      <w:kern w:val="2"/>
      <w:sz w:val="24"/>
      <w:lang w:bidi="ar-SA"/>
    </w:rPr>
  </w:style>
  <w:style w:type="character" w:customStyle="1" w:styleId="37">
    <w:name w:val="批注框文本 字符"/>
    <w:link w:val="12"/>
    <w:qFormat/>
    <w:locked/>
    <w:uiPriority w:val="0"/>
    <w:rPr>
      <w:rFonts w:eastAsia="宋体"/>
      <w:snapToGrid w:val="0"/>
      <w:kern w:val="2"/>
      <w:sz w:val="18"/>
      <w:szCs w:val="18"/>
      <w:lang w:val="en-US" w:eastAsia="zh-CN" w:bidi="ar-SA"/>
    </w:rPr>
  </w:style>
  <w:style w:type="character" w:customStyle="1" w:styleId="38">
    <w:name w:val="页脚 字符"/>
    <w:link w:val="13"/>
    <w:qFormat/>
    <w:uiPriority w:val="0"/>
    <w:rPr>
      <w:sz w:val="18"/>
      <w:szCs w:val="18"/>
    </w:rPr>
  </w:style>
  <w:style w:type="character" w:customStyle="1" w:styleId="39">
    <w:name w:val="页眉 字符"/>
    <w:link w:val="14"/>
    <w:qFormat/>
    <w:uiPriority w:val="0"/>
    <w:rPr>
      <w:sz w:val="18"/>
      <w:szCs w:val="18"/>
    </w:rPr>
  </w:style>
  <w:style w:type="character" w:customStyle="1" w:styleId="40">
    <w:name w:val="标题 字符"/>
    <w:link w:val="17"/>
    <w:qFormat/>
    <w:uiPriority w:val="0"/>
    <w:rPr>
      <w:rFonts w:ascii="Cambria" w:hAnsi="Cambria" w:cs="Times New Roman"/>
      <w:b/>
      <w:bCs/>
      <w:kern w:val="2"/>
      <w:sz w:val="32"/>
      <w:szCs w:val="32"/>
    </w:rPr>
  </w:style>
  <w:style w:type="character" w:customStyle="1" w:styleId="41">
    <w:name w:val="批注主题 字符"/>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列出段落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29">
    <w:name w:val="fontstyle01"/>
    <w:basedOn w:val="21"/>
    <w:qFormat/>
    <w:uiPriority w:val="0"/>
    <w:rPr>
      <w:rFonts w:hint="eastAsia" w:ascii="宋体" w:hAnsi="宋体" w:eastAsia="宋体"/>
      <w:color w:val="000000"/>
      <w:sz w:val="22"/>
      <w:szCs w:val="22"/>
    </w:rPr>
  </w:style>
  <w:style w:type="character" w:customStyle="1" w:styleId="130">
    <w:name w:val="fontstyle21"/>
    <w:basedOn w:val="21"/>
    <w:qFormat/>
    <w:uiPriority w:val="0"/>
    <w:rPr>
      <w:rFonts w:hint="eastAsia" w:ascii="宋体" w:hAnsi="宋体" w:eastAsia="宋体"/>
      <w:color w:val="000000"/>
      <w:sz w:val="22"/>
      <w:szCs w:val="22"/>
    </w:rPr>
  </w:style>
  <w:style w:type="character" w:customStyle="1" w:styleId="131">
    <w:name w:val="fontstyle31"/>
    <w:basedOn w:val="21"/>
    <w:qFormat/>
    <w:uiPriority w:val="0"/>
    <w:rPr>
      <w:rFonts w:hint="default" w:ascii="TimesNewRoman" w:hAnsi="TimesNewRoman"/>
      <w:i/>
      <w:iCs/>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B82D2-221E-4573-BF87-3E4CCE9A8A9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11526</Words>
  <Characters>11787</Characters>
  <Lines>90</Lines>
  <Paragraphs>25</Paragraphs>
  <TotalTime>0</TotalTime>
  <ScaleCrop>false</ScaleCrop>
  <LinksUpToDate>false</LinksUpToDate>
  <CharactersWithSpaces>11860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2022-11-27T09:26:00Z</cp:lastPrinted>
  <dcterms:modified xsi:type="dcterms:W3CDTF">2023-08-25T06:01:37Z</dcterms:modified>
  <dc:title>中等职业学校计算机网络技术专业教学标准</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