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color w:val="FF0000"/>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hint="eastAsia" w:ascii="华文中宋" w:hAnsi="华文中宋" w:eastAsia="华文中宋" w:cs="Times New Roman"/>
          <w:sz w:val="48"/>
          <w:szCs w:val="48"/>
        </w:rPr>
      </w:pPr>
      <w:r>
        <w:rPr>
          <w:rFonts w:hint="eastAsia" w:ascii="华文中宋" w:hAnsi="华文中宋" w:eastAsia="华文中宋" w:cs="Times New Roman"/>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hint="eastAsia" w:ascii="华文中宋" w:hAnsi="华文中宋" w:eastAsia="华文中宋" w:cs="Times New Roman"/>
          <w:color w:val="FF0000"/>
          <w:sz w:val="48"/>
          <w:szCs w:val="48"/>
        </w:rPr>
      </w:pPr>
      <w:r>
        <w:rPr>
          <w:rFonts w:hint="eastAsia" w:ascii="华文中宋" w:hAnsi="华文中宋" w:eastAsia="华文中宋" w:cs="Times New Roman"/>
          <w:sz w:val="48"/>
          <w:szCs w:val="48"/>
        </w:rPr>
        <w:t>幼儿保育专业人才培</w:t>
      </w:r>
      <w:r>
        <w:rPr>
          <w:rFonts w:hint="eastAsia" w:ascii="华文中宋" w:hAnsi="华文中宋" w:eastAsia="华文中宋" w:cs="Times New Roman"/>
          <w:b w:val="0"/>
          <w:bCs w:val="0"/>
          <w:color w:val="auto"/>
          <w:sz w:val="48"/>
          <w:szCs w:val="48"/>
        </w:rPr>
        <w:t>养方案</w:t>
      </w:r>
    </w:p>
    <w:p>
      <w:pPr>
        <w:spacing w:line="480" w:lineRule="auto"/>
        <w:rPr>
          <w:rFonts w:ascii="黑体" w:hAnsi="宋体" w:eastAsia="黑体"/>
          <w:color w:val="FF0000"/>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cs="Times New Roman"/>
          <w:sz w:val="36"/>
          <w:szCs w:val="36"/>
          <w:lang w:val="en-US" w:eastAsia="zh-CN"/>
        </w:rPr>
      </w:pPr>
      <w:r>
        <w:rPr>
          <w:rFonts w:hint="eastAsia" w:ascii="黑体" w:hAnsi="宋体" w:eastAsia="黑体" w:cs="Times New Roman"/>
          <w:sz w:val="36"/>
          <w:szCs w:val="36"/>
        </w:rPr>
        <w:t>河</w:t>
      </w:r>
      <w:r>
        <w:rPr>
          <w:rFonts w:hint="eastAsia" w:ascii="黑体" w:hAnsi="宋体" w:eastAsia="黑体" w:cs="Times New Roman"/>
          <w:sz w:val="36"/>
          <w:szCs w:val="36"/>
          <w:lang w:val="en-US" w:eastAsia="zh-CN"/>
        </w:rPr>
        <w:t>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color w:val="FF0000"/>
          <w:sz w:val="36"/>
          <w:szCs w:val="36"/>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1247" w:gutter="0"/>
          <w:pgNumType w:start="1"/>
          <w:cols w:space="720" w:num="1"/>
          <w:titlePg/>
          <w:docGrid w:type="linesAndChars" w:linePitch="400" w:charSpace="0"/>
        </w:sectPr>
      </w:pPr>
      <w:r>
        <w:rPr>
          <w:rFonts w:hint="eastAsia" w:ascii="黑体" w:hAnsi="宋体" w:eastAsia="黑体" w:cs="Times New Roman"/>
          <w:sz w:val="36"/>
          <w:szCs w:val="36"/>
          <w:lang w:val="en-US" w:eastAsia="zh-CN"/>
        </w:rPr>
        <w:t>2023年5月</w:t>
      </w:r>
    </w:p>
    <w:p>
      <w:pPr>
        <w:snapToGrid/>
        <w:spacing w:line="240" w:lineRule="auto"/>
        <w:ind w:firstLine="0"/>
        <w:jc w:val="center"/>
        <w:rPr>
          <w:rFonts w:hint="eastAsia" w:ascii="黑体" w:hAnsi="宋体" w:eastAsia="黑体" w:cs="Times New Roman"/>
          <w:b/>
          <w:bCs/>
          <w:sz w:val="32"/>
          <w:szCs w:val="32"/>
          <w:lang w:val="en-US" w:eastAsia="zh-CN"/>
        </w:rPr>
      </w:pPr>
      <w:r>
        <w:rPr>
          <w:rFonts w:hint="eastAsia" w:ascii="黑体" w:hAnsi="宋体" w:eastAsia="黑体" w:cs="Times New Roman"/>
          <w:b w:val="0"/>
          <w:bCs w:val="0"/>
          <w:sz w:val="32"/>
          <w:szCs w:val="32"/>
          <w:lang w:val="en-US" w:eastAsia="zh-CN"/>
        </w:rPr>
        <w:t>目    录</w:t>
      </w:r>
    </w:p>
    <w:p>
      <w:pPr>
        <w:snapToGrid/>
        <w:spacing w:line="240" w:lineRule="auto"/>
        <w:jc w:val="center"/>
        <w:rPr>
          <w:rFonts w:ascii="黑体" w:hAnsi="黑体" w:eastAsia="黑体" w:cs="黑体"/>
          <w:color w:val="FF0000"/>
          <w:sz w:val="32"/>
          <w:szCs w:val="32"/>
        </w:rPr>
      </w:pPr>
    </w:p>
    <w:p>
      <w:pPr>
        <w:pStyle w:val="102"/>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Viner Hand ITC" w:eastAsia="黑体"/>
          <w:sz w:val="24"/>
          <w:szCs w:val="24"/>
        </w:rPr>
        <w:t>3</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Viner Hand ITC" w:eastAsia="黑体"/>
          <w:sz w:val="24"/>
          <w:szCs w:val="24"/>
        </w:rPr>
        <w:t>16</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lang w:val="en-US" w:eastAsia="zh-CN"/>
        </w:rPr>
        <w:t>17</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九、毕业要求 ………………………………………………………………………………</w:t>
      </w:r>
      <w:r>
        <w:rPr>
          <w:rFonts w:ascii="Times New Roman" w:hAnsi="Viner Hand ITC" w:eastAsia="黑体"/>
          <w:sz w:val="24"/>
          <w:szCs w:val="24"/>
        </w:rPr>
        <w:t>（</w:t>
      </w:r>
      <w:r>
        <w:rPr>
          <w:rFonts w:hint="eastAsia" w:ascii="Times New Roman" w:hAnsi="Viner Hand ITC" w:eastAsia="黑体"/>
          <w:sz w:val="24"/>
          <w:szCs w:val="24"/>
          <w:lang w:val="en-US" w:eastAsia="zh-CN"/>
        </w:rPr>
        <w:t>23</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十、接续专业 ………………………………………………………………………………</w:t>
      </w:r>
      <w:r>
        <w:rPr>
          <w:rFonts w:ascii="Times New Roman" w:hAnsi="Viner Hand ITC" w:eastAsia="黑体"/>
          <w:sz w:val="24"/>
          <w:szCs w:val="24"/>
        </w:rPr>
        <w:t>（</w:t>
      </w:r>
      <w:r>
        <w:rPr>
          <w:rFonts w:hint="eastAsia" w:ascii="Times New Roman" w:hAnsi="Viner Hand ITC" w:eastAsia="黑体"/>
          <w:sz w:val="24"/>
          <w:szCs w:val="24"/>
        </w:rPr>
        <w:t>2</w:t>
      </w:r>
      <w:r>
        <w:rPr>
          <w:rFonts w:hint="eastAsia" w:ascii="Times New Roman" w:hAnsi="Viner Hand ITC" w:eastAsia="黑体"/>
          <w:sz w:val="24"/>
          <w:szCs w:val="24"/>
          <w:lang w:val="en-US" w:eastAsia="zh-CN"/>
        </w:rPr>
        <w:t>3</w:t>
      </w:r>
      <w:r>
        <w:rPr>
          <w:rFonts w:ascii="Times New Roman" w:hAnsi="Viner Hand ITC" w:eastAsia="黑体"/>
          <w:sz w:val="24"/>
          <w:szCs w:val="24"/>
        </w:rPr>
        <w:t>）</w:t>
      </w:r>
    </w:p>
    <w:p>
      <w:pPr>
        <w:pStyle w:val="84"/>
        <w:spacing w:before="800" w:beforeLines="200" w:after="800" w:afterLines="200"/>
        <w:rPr>
          <w:u w:val="none"/>
        </w:rPr>
      </w:pPr>
    </w:p>
    <w:p>
      <w:pPr>
        <w:pStyle w:val="84"/>
        <w:spacing w:before="800" w:beforeLines="200" w:after="800" w:afterLines="200"/>
        <w:rPr>
          <w:color w:val="FF0000"/>
          <w:u w:val="none"/>
        </w:rPr>
      </w:pPr>
    </w:p>
    <w:p>
      <w:pPr>
        <w:pStyle w:val="84"/>
        <w:spacing w:before="800" w:beforeLines="200" w:after="800" w:afterLines="200"/>
        <w:rPr>
          <w:color w:val="FF0000"/>
          <w:u w:val="none"/>
        </w:rPr>
      </w:pPr>
    </w:p>
    <w:p>
      <w:pPr>
        <w:pStyle w:val="102"/>
        <w:spacing w:before="0" w:beforeLines="0" w:after="0" w:afterLines="0" w:line="700" w:lineRule="exact"/>
        <w:ind w:firstLine="0"/>
        <w:jc w:val="center"/>
        <w:rPr>
          <w:rFonts w:ascii="华文中宋" w:hAnsi="华文中宋" w:eastAsia="华文中宋"/>
          <w:sz w:val="44"/>
          <w:szCs w:val="44"/>
        </w:rPr>
        <w:sectPr>
          <w:footerReference r:id="rId10" w:type="default"/>
          <w:footerReference r:id="rId11" w:type="even"/>
          <w:pgSz w:w="11907" w:h="16840"/>
          <w:pgMar w:top="1134" w:right="1134" w:bottom="1134" w:left="1134" w:header="851" w:footer="1247" w:gutter="0"/>
          <w:pgNumType w:start="1"/>
          <w:cols w:space="720" w:num="1"/>
          <w:docGrid w:type="linesAndChars" w:linePitch="400" w:charSpace="0"/>
        </w:sectPr>
      </w:pPr>
    </w:p>
    <w:p>
      <w:pPr>
        <w:pStyle w:val="102"/>
        <w:spacing w:before="0" w:beforeLines="0" w:after="0" w:afterLines="0" w:line="700" w:lineRule="exact"/>
        <w:ind w:firstLine="0"/>
        <w:jc w:val="center"/>
        <w:rPr>
          <w:rFonts w:hint="eastAsia" w:ascii="华文中宋" w:hAnsi="华文中宋" w:eastAsia="华文中宋" w:cs="Times New Roman"/>
          <w:sz w:val="44"/>
          <w:szCs w:val="44"/>
        </w:rPr>
      </w:pPr>
      <w:r>
        <w:rPr>
          <w:rFonts w:hint="eastAsia" w:ascii="华文中宋" w:hAnsi="华文中宋" w:eastAsia="华文中宋" w:cs="Times New Roman"/>
          <w:sz w:val="44"/>
          <w:szCs w:val="44"/>
        </w:rPr>
        <w:t>河南省驻马店财经学校</w:t>
      </w:r>
    </w:p>
    <w:p>
      <w:pPr>
        <w:pStyle w:val="102"/>
        <w:spacing w:before="0" w:beforeLines="0" w:after="0" w:afterLines="0" w:line="700" w:lineRule="exact"/>
        <w:ind w:firstLine="0"/>
        <w:jc w:val="center"/>
        <w:rPr>
          <w:rFonts w:hint="eastAsia" w:ascii="华文中宋" w:hAnsi="华文中宋" w:eastAsia="华文中宋" w:cs="Times New Roman"/>
          <w:sz w:val="44"/>
          <w:szCs w:val="44"/>
        </w:rPr>
      </w:pPr>
      <w:r>
        <w:rPr>
          <w:rFonts w:hint="eastAsia" w:ascii="华文中宋" w:hAnsi="华文中宋" w:eastAsia="华文中宋" w:cs="Times New Roman"/>
          <w:sz w:val="44"/>
          <w:szCs w:val="44"/>
        </w:rPr>
        <w:t>幼儿保育专业人才培养方案</w:t>
      </w:r>
    </w:p>
    <w:p>
      <w:pPr>
        <w:pStyle w:val="102"/>
        <w:spacing w:before="0" w:beforeLines="0" w:after="0" w:afterLines="0" w:line="240" w:lineRule="auto"/>
      </w:pPr>
    </w:p>
    <w:p>
      <w:pPr>
        <w:keepNext w:val="0"/>
        <w:keepLines w:val="0"/>
        <w:pageBreakBefore w:val="0"/>
        <w:widowControl w:val="0"/>
        <w:kinsoku/>
        <w:wordWrap/>
        <w:overflowPunct w:val="0"/>
        <w:topLinePunct/>
        <w:autoSpaceDE/>
        <w:autoSpaceDN/>
        <w:bidi w:val="0"/>
        <w:adjustRightInd w:val="0"/>
        <w:snapToGrid w:val="0"/>
        <w:spacing w:line="240" w:lineRule="auto"/>
        <w:ind w:firstLine="600" w:firstLineChars="200"/>
        <w:textAlignment w:val="auto"/>
        <w:rPr>
          <w:rFonts w:hint="eastAsia" w:ascii="黑体" w:hAnsi="黑体" w:eastAsia="黑体" w:cs="Times New Roman"/>
          <w:sz w:val="30"/>
          <w:szCs w:val="30"/>
        </w:rPr>
      </w:pPr>
      <w:r>
        <w:rPr>
          <w:rFonts w:hint="eastAsia" w:ascii="黑体" w:hAnsi="黑体" w:eastAsia="黑体" w:cs="Times New Roman"/>
          <w:sz w:val="30"/>
          <w:szCs w:val="30"/>
        </w:rPr>
        <w:t>一、专业名称及代码</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z w:val="30"/>
          <w:szCs w:val="30"/>
        </w:rPr>
      </w:pPr>
      <w:r>
        <w:rPr>
          <w:rFonts w:hint="eastAsia" w:ascii="仿宋" w:hAnsi="仿宋" w:eastAsia="仿宋" w:cs="仿宋"/>
          <w:sz w:val="30"/>
          <w:szCs w:val="30"/>
        </w:rPr>
        <w:t>专业名称：幼儿保育</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w:t>
      </w:r>
      <w:r>
        <w:rPr>
          <w:rFonts w:hint="eastAsia" w:ascii="宋体" w:hAnsi="宋体" w:cs="宋体"/>
          <w:sz w:val="28"/>
          <w:szCs w:val="28"/>
        </w:rPr>
        <w:t>770101</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9"/>
        <w:shd w:val="clear" w:color="auto" w:fill="auto"/>
        <w:spacing w:line="560" w:lineRule="exact"/>
        <w:ind w:right="119" w:firstLine="600" w:firstLineChars="200"/>
        <w:jc w:val="left"/>
        <w:rPr>
          <w:rFonts w:ascii="仿宋" w:hAnsi="仿宋" w:eastAsia="仿宋" w:cs="仿宋"/>
          <w:b w:val="0"/>
          <w:bCs w:val="0"/>
          <w:snapToGrid w:val="0"/>
          <w:spacing w:val="0"/>
          <w:kern w:val="2"/>
          <w:sz w:val="30"/>
          <w:szCs w:val="30"/>
        </w:rPr>
      </w:pPr>
      <w:r>
        <w:rPr>
          <w:rFonts w:ascii="仿宋" w:hAnsi="仿宋" w:eastAsia="仿宋" w:cs="仿宋"/>
          <w:b w:val="0"/>
          <w:bCs w:val="0"/>
          <w:snapToGrid w:val="0"/>
          <w:spacing w:val="0"/>
          <w:kern w:val="2"/>
          <w:sz w:val="30"/>
          <w:szCs w:val="30"/>
        </w:rPr>
        <w:t>面向保育师职业，幼儿保育、生活照护、幼儿安全健康照护、幼儿早期发展支持等岗位（群）</w:t>
      </w:r>
      <w:r>
        <w:rPr>
          <w:rFonts w:hint="eastAsia" w:ascii="仿宋" w:hAnsi="仿宋" w:eastAsia="仿宋" w:cs="仿宋"/>
          <w:b w:val="0"/>
          <w:bCs w:val="0"/>
          <w:snapToGrid w:val="0"/>
          <w:spacing w:val="0"/>
          <w:kern w:val="2"/>
          <w:sz w:val="30"/>
          <w:szCs w:val="30"/>
        </w:rPr>
        <w:t>。</w:t>
      </w: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1003"/>
        <w:gridCol w:w="1660"/>
        <w:gridCol w:w="4776"/>
        <w:gridCol w:w="2219"/>
      </w:tblGrid>
      <w:tr>
        <w:tblPrEx>
          <w:tblCellMar>
            <w:top w:w="0" w:type="dxa"/>
            <w:left w:w="10" w:type="dxa"/>
            <w:bottom w:w="0" w:type="dxa"/>
            <w:right w:w="10" w:type="dxa"/>
          </w:tblCellMar>
        </w:tblPrEx>
        <w:trPr>
          <w:trHeight w:val="613" w:hRule="exact"/>
        </w:trPr>
        <w:tc>
          <w:tcPr>
            <w:tcW w:w="100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序号</w:t>
            </w:r>
          </w:p>
        </w:tc>
        <w:tc>
          <w:tcPr>
            <w:tcW w:w="166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专业化方向</w:t>
            </w:r>
          </w:p>
        </w:tc>
        <w:tc>
          <w:tcPr>
            <w:tcW w:w="477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eastAsia="zh-TW" w:bidi="zh-TW"/>
              </w:rPr>
            </w:pPr>
            <w:r>
              <w:rPr>
                <w:rFonts w:hint="eastAsia" w:ascii="黑体" w:hAnsi="黑体" w:eastAsia="黑体" w:cs="黑体"/>
                <w:spacing w:val="0"/>
                <w:sz w:val="24"/>
                <w:szCs w:val="24"/>
              </w:rPr>
              <w:t>就业岗位</w:t>
            </w:r>
          </w:p>
        </w:tc>
        <w:tc>
          <w:tcPr>
            <w:tcW w:w="221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799" w:hRule="exact"/>
        </w:trPr>
        <w:tc>
          <w:tcPr>
            <w:tcW w:w="100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rPr>
              <w:t>1</w:t>
            </w:r>
          </w:p>
        </w:tc>
        <w:tc>
          <w:tcPr>
            <w:tcW w:w="166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eastAsia="zh-TW"/>
              </w:rPr>
              <w:t>早期教育</w:t>
            </w:r>
          </w:p>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rPr>
              <w:t>幼儿保育</w:t>
            </w:r>
          </w:p>
        </w:tc>
        <w:tc>
          <w:tcPr>
            <w:tcW w:w="477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适合从事幼儿保育教师，各种托育机构、幼儿园、早教机构、师资培训机构的保育、教学、管理等工作岗位。</w:t>
            </w:r>
          </w:p>
        </w:tc>
        <w:tc>
          <w:tcPr>
            <w:tcW w:w="221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rPr>
              <w:t>保育师（中级）</w:t>
            </w:r>
          </w:p>
        </w:tc>
      </w:tr>
      <w:tr>
        <w:tblPrEx>
          <w:tblCellMar>
            <w:top w:w="0" w:type="dxa"/>
            <w:left w:w="10" w:type="dxa"/>
            <w:bottom w:w="0" w:type="dxa"/>
            <w:right w:w="10" w:type="dxa"/>
          </w:tblCellMar>
        </w:tblPrEx>
        <w:trPr>
          <w:trHeight w:val="1711" w:hRule="exact"/>
        </w:trPr>
        <w:tc>
          <w:tcPr>
            <w:tcW w:w="100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rPr>
              <w:t>2</w:t>
            </w:r>
          </w:p>
        </w:tc>
        <w:tc>
          <w:tcPr>
            <w:tcW w:w="166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eastAsia="zh-TW"/>
              </w:rPr>
              <w:t>早期教育</w:t>
            </w:r>
          </w:p>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rPr>
              <w:t>幼儿保育</w:t>
            </w:r>
          </w:p>
        </w:tc>
        <w:tc>
          <w:tcPr>
            <w:tcW w:w="477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rPr>
              <w:t>适合从事</w:t>
            </w:r>
            <w:r>
              <w:rPr>
                <w:rFonts w:hint="eastAsia" w:ascii="仿宋" w:hAnsi="仿宋" w:eastAsia="仿宋" w:cs="仿宋"/>
                <w:spacing w:val="0"/>
                <w:sz w:val="24"/>
                <w:szCs w:val="24"/>
                <w:lang w:val="zh-TW"/>
              </w:rPr>
              <w:t>家政服务公司、母婴护理机构、</w:t>
            </w:r>
            <w:r>
              <w:rPr>
                <w:rFonts w:hint="eastAsia" w:ascii="仿宋" w:hAnsi="仿宋" w:eastAsia="仿宋" w:cs="仿宋"/>
                <w:spacing w:val="0"/>
                <w:sz w:val="24"/>
                <w:szCs w:val="24"/>
              </w:rPr>
              <w:t>早教机构、</w:t>
            </w:r>
            <w:r>
              <w:rPr>
                <w:rFonts w:hint="eastAsia" w:ascii="仿宋" w:hAnsi="仿宋" w:eastAsia="仿宋" w:cs="仿宋"/>
                <w:spacing w:val="0"/>
                <w:sz w:val="24"/>
                <w:szCs w:val="24"/>
                <w:lang w:val="zh-TW"/>
              </w:rPr>
              <w:t>社区服务中心、幼儿教育机构</w:t>
            </w:r>
            <w:r>
              <w:rPr>
                <w:rFonts w:hint="eastAsia" w:ascii="仿宋" w:hAnsi="仿宋" w:eastAsia="仿宋" w:cs="仿宋"/>
                <w:spacing w:val="0"/>
                <w:sz w:val="24"/>
                <w:szCs w:val="24"/>
              </w:rPr>
              <w:t>的教学与管理工作</w:t>
            </w:r>
            <w:r>
              <w:rPr>
                <w:rFonts w:hint="eastAsia" w:ascii="仿宋" w:hAnsi="仿宋" w:eastAsia="仿宋" w:cs="仿宋"/>
                <w:spacing w:val="0"/>
                <w:sz w:val="24"/>
                <w:szCs w:val="24"/>
                <w:lang w:val="zh-TW"/>
              </w:rPr>
              <w:t>。</w:t>
            </w: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hint="eastAsia" w:ascii="仿宋" w:hAnsi="仿宋" w:eastAsia="仿宋" w:cs="仿宋"/>
                <w:spacing w:val="0"/>
                <w:sz w:val="24"/>
                <w:szCs w:val="24"/>
                <w:lang w:val="zh-TW" w:eastAsia="zh-TW"/>
              </w:rPr>
            </w:pPr>
            <w:r>
              <w:rPr>
                <w:rFonts w:hint="eastAsia" w:ascii="仿宋" w:hAnsi="仿宋" w:eastAsia="仿宋" w:cs="仿宋"/>
                <w:spacing w:val="0"/>
                <w:sz w:val="24"/>
                <w:szCs w:val="24"/>
                <w:lang w:val="zh-TW"/>
              </w:rPr>
              <w:t>育婴员（中级）</w:t>
            </w:r>
          </w:p>
        </w:tc>
      </w:tr>
    </w:tbl>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（一）培养目标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培养德智体美劳全面发展，掌握扎实的科学文化基础和幼儿保育等知识，具备幼儿保育、安全健康照护、早期发展支持等能力，具有教育情怀和信息素养，能够从事托幼园所幼儿保育、幼儿照护服务等工作的技术技能人才。同时，为高职院校学前教育、早期教育、婴幼儿托育服务与管理、婴幼儿发展与健康管理等专业输送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（二）专业能力培养规格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1.具有良好的职业道德、行为规范、社会责任感和担当精神，以及将德育贯穿于幼儿一日生活的能力；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2.具有幼儿营养、喂养和健康、安全照护等方面的技能，以及科学组织和独立承担幼儿一日生活各环节保育工作的能力；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3.具有运用新材料、新技术的玩教具支持幼儿早期学习与发展，以及创设幼儿生活环境和支持性学习环境的能力；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4.具有预防与规范处理幼儿常见病症、意外伤害及其他突发事件的技能，以及开展幼儿安全、健康照护的能力；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5.具有观察、识别、记录幼儿的言行和情绪表达的基本技能，以及观察、分析幼儿发展状况的能力，具备家园社合作共育能力；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6.具有一定的心理调适能力、良好的语言表达能力和沟通合作能力；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7.掌握与本专业从事职业活动相关的国家法律、行业规定，具备环境保护、安全防护等相关知识与技能；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8.具有适应育幼领域数字化发展需求的基本数字技能和信息技术能力；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9.具有终身学习和可持续发展的能力。 </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本专业课程设置分为公共基础课和专业技能课。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公共基础课包括国防教育、劳动教育、中国特色社会主义、心理健康与职业生涯、哲学与人生、职业道德与法治、语文、应用文、数学、英语、体育与健康、历史、信息技术、礼仪、书法、音乐、键盘乐器演奏基础、美术等。</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专业技能课包括专业基础课和核心专业课。</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任务是培养学生热爱祖国语言文字的思想感情，使学生进一步提高正确理解与运用祖国语言文字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养成练好的个性、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8.应用文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作为中职语文学科的重要课程，拟根据本专业学生的具体情况，以“基于现代职业岗位，工学结合”的人才培养理念，在建构学习方式和行动导向教学理论的指导下，创设不同的写作实践情境，保证教学内容与学生就业实际紧密结合，使基本文化素养和一般能力的培养与职业能力的培养相结合，从而使学生熟练掌握从事本专业工作所需要的应用文体，初步形成熟练写作符合要求的规范的应用文的能力，为其职业生涯发展奠定基础，从而适应工作岗位的各项要求，提升就业和创业的能力，走上可持续发展的道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提升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12.历史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13.信息技术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14.礼仪</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的礼仪是一门重要的公共课程，主要培养学生的通用职业能力。根据学生的职业化的特点，将礼仪与专业有机结合，提高学生的综合素质。重视理论与实际的结合，通过切实有效的礼仪教育，培养学生理解宽容、谦逊诚恳的待人态度，培养学生是非清楚、推心置腹、与人为善、助人为乐的做人品行，培养学生庄重大方、热情友好、谈吐文雅、讲究礼貌的行为举止。在学生掌握根本理论的同时，特别强调动手能力与技能训练的培养，教学内容具有针对性、指导性、任务性，突出中职教育应用性的特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15.书法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及性质属于艺术门类的知识课，同时又具有工具课的特点。作为知识课，教学目的是通过该课的学习，使学生了解书法艺术的性质、特点，了解书法历史概况，了解主要书体的艺术特点和写作技法，掌握书法美学的基础理论，鉴赏书法作品的一般原则和方法，以培养感受书法美的敏感，提高书法审美水平；作为工具课，为来到幼儿园工作打好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16.音乐</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的学习，可为幼儿保育专业的学生全面接受音乐教育、对学生的专业学习以及音乐实践课学习创造坚实的后盾。它系统讲述了音的高低、音的长短、五线谱常用记号等基础理论知识，也让学生学会典型的节奏及节奏型，培养视唱能力，掌握声乐基础知识和歌唱的技能技巧，了解和熟悉幼儿歌曲的一般特点，对不同风格的幼儿歌曲有基本的了解，能根据需要进行幼儿歌曲表演唱，积极主动地开展幼儿歌曲表演的创编活动。培养学生对音乐的感受力、理解力、表现力。渗透思想教育及美育，陶冶学生情操，加强学生从事幼教工作的观念，提高为社会服务的意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17</w:t>
      </w:r>
      <w:r>
        <w:rPr>
          <w:rFonts w:hint="eastAsia" w:ascii="仿宋" w:hAnsi="仿宋" w:eastAsia="仿宋" w:cs="仿宋"/>
          <w:sz w:val="30"/>
          <w:szCs w:val="30"/>
          <w:lang w:val="en-US" w:eastAsia="zh-CN"/>
        </w:rPr>
        <w:t>.</w:t>
      </w:r>
      <w:r>
        <w:rPr>
          <w:rFonts w:hint="eastAsia" w:ascii="仿宋" w:hAnsi="仿宋" w:eastAsia="仿宋" w:cs="仿宋"/>
          <w:sz w:val="30"/>
          <w:szCs w:val="30"/>
        </w:rPr>
        <w:t>键盘乐器演奏基础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是中职学前教育的专业技能课程。本课程包含钢琴，电子钢琴基础阶段的学习和基本演奏技能技巧的掌握、儿歌配弹技能的训练内容。指导学生掌握钢琴、电子钢琴演奏的基础知识和基本演奏技巧，学习相关乐理知识并用于儿歌配奏，能自主为儿歌编配和弦、伴奏音型，达到自弹自唱的目的，培养学生对音乐的感知、理解和表现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18.美术</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遵循学生的认知规律，围绕幼儿教师的美术技能要求培养学生。本课程包括绘画基础知识与技能(包括学习素描、色彩)，泥塑、纸艺、布艺、废旧材料综合应用、教玩具制作与幼儿园环境创设等学习内容。使所学到的美术知识与技能在以后所从事的幼儿教育中，发挥起一定的作用。掌握基础绘画技能，能够使学生在制作艺术作品的过程中，以及在欣赏中外经典艺术的作品时，陶冶审美情操，培养学生审美情操，提高学生的生活品位，形成良好的职业素养。</w:t>
      </w:r>
    </w:p>
    <w:p>
      <w:pPr>
        <w:spacing w:line="480" w:lineRule="exact"/>
        <w:ind w:firstLine="560" w:firstLineChars="200"/>
        <w:jc w:val="center"/>
        <w:rPr>
          <w:rFonts w:hint="eastAsia" w:ascii="Times New Roman" w:hAnsi="Times New Roman" w:cs="Times New Roman"/>
          <w:b/>
          <w:sz w:val="28"/>
          <w:szCs w:val="28"/>
        </w:rPr>
      </w:pPr>
      <w:r>
        <w:rPr>
          <w:rFonts w:hint="eastAsia" w:ascii="Times New Roman" w:hAnsi="Times New Roman" w:cs="Times New Roman"/>
          <w:b/>
          <w:sz w:val="28"/>
          <w:szCs w:val="28"/>
        </w:rPr>
        <w:t>公共基础课课程设置及学时分配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45"/>
        <w:gridCol w:w="5415"/>
        <w:gridCol w:w="11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eastAsia="黑体"/>
                <w:sz w:val="24"/>
                <w:szCs w:val="24"/>
              </w:rPr>
            </w:pPr>
            <w:r>
              <w:rPr>
                <w:rFonts w:hAnsi="黑体" w:eastAsia="黑体"/>
                <w:sz w:val="24"/>
                <w:szCs w:val="24"/>
              </w:rPr>
              <w:t>序号</w:t>
            </w:r>
          </w:p>
        </w:tc>
        <w:tc>
          <w:tcPr>
            <w:tcW w:w="2245" w:type="dxa"/>
            <w:vAlign w:val="center"/>
          </w:tcPr>
          <w:p>
            <w:pPr>
              <w:pStyle w:val="63"/>
              <w:spacing w:line="300" w:lineRule="atLeast"/>
              <w:jc w:val="center"/>
              <w:rPr>
                <w:rFonts w:eastAsia="黑体"/>
                <w:sz w:val="24"/>
                <w:szCs w:val="24"/>
              </w:rPr>
            </w:pPr>
            <w:r>
              <w:rPr>
                <w:rFonts w:hAnsi="黑体" w:eastAsia="黑体"/>
                <w:sz w:val="24"/>
                <w:szCs w:val="24"/>
              </w:rPr>
              <w:t>课程名称</w:t>
            </w:r>
          </w:p>
        </w:tc>
        <w:tc>
          <w:tcPr>
            <w:tcW w:w="5415" w:type="dxa"/>
            <w:vAlign w:val="center"/>
          </w:tcPr>
          <w:p>
            <w:pPr>
              <w:pStyle w:val="63"/>
              <w:spacing w:line="300" w:lineRule="atLeast"/>
              <w:jc w:val="center"/>
              <w:rPr>
                <w:rFonts w:eastAsia="黑体"/>
                <w:sz w:val="24"/>
                <w:szCs w:val="24"/>
              </w:rPr>
            </w:pPr>
            <w:r>
              <w:rPr>
                <w:rFonts w:hAnsi="黑体" w:eastAsia="黑体"/>
                <w:sz w:val="24"/>
                <w:szCs w:val="24"/>
              </w:rPr>
              <w:t>主要教学内容和要求</w:t>
            </w:r>
          </w:p>
        </w:tc>
        <w:tc>
          <w:tcPr>
            <w:tcW w:w="1188" w:type="dxa"/>
            <w:vAlign w:val="center"/>
          </w:tcPr>
          <w:p>
            <w:pPr>
              <w:pStyle w:val="63"/>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国防教育</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2</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劳动教育</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188" w:type="dxa"/>
            <w:vAlign w:val="center"/>
          </w:tcPr>
          <w:p>
            <w:pPr>
              <w:pStyle w:val="63"/>
              <w:spacing w:line="300" w:lineRule="atLeast"/>
              <w:jc w:val="center"/>
              <w:rPr>
                <w:rFonts w:hint="eastAsia"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3</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lang w:eastAsia="zh-CN"/>
              </w:rPr>
              <w:t>中国特色社会主义</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心理健康与职业生涯</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5</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哲学与人生</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6</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职业道德与法治</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7</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语文</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依据《中等职业学校语文课程标准》开设，并注重在职业模块的教学内容中体现专业特色。</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应用文</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依据《中等职业学校应用文课程标准》开设，并注重在职业模块的教学内容中体现专业特色。</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9</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数学</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依据《中等职业学校数学课程标准》开设，并注重在职业模块的教学内容中体现专业特色。</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10</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英语</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依据《中等职业学校英语课程标准》开设，并注重在职业模块的教学内容中体现专业特色。</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11</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体育与健康</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12</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历史</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依据《中等职业学校历史课程标准》开设，并与专业实际和行业发展密切结合。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13</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信息技术</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依据《中等职业学校信息技术课程标准》开设，并注重在职业模块的教学内容中体现专业特色。</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14</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礼仪</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w:t>
            </w:r>
            <w:r>
              <w:rPr>
                <w:rFonts w:hint="eastAsia" w:ascii="宋体" w:hAnsi="宋体" w:cs="宋体"/>
                <w:sz w:val="21"/>
                <w:szCs w:val="21"/>
                <w:lang w:eastAsia="zh-CN"/>
              </w:rPr>
              <w:t>公共艺术</w:t>
            </w:r>
            <w:r>
              <w:rPr>
                <w:rFonts w:hint="eastAsia" w:ascii="宋体" w:hAnsi="宋体" w:cs="宋体"/>
                <w:sz w:val="21"/>
                <w:szCs w:val="21"/>
              </w:rPr>
              <w:t>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15</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书法</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依据《中等职业学校书</w:t>
            </w:r>
            <w:bookmarkStart w:id="0" w:name="_GoBack"/>
            <w:bookmarkEnd w:id="0"/>
            <w:r>
              <w:rPr>
                <w:rFonts w:hint="eastAsia" w:ascii="宋体" w:hAnsi="宋体" w:cs="宋体"/>
                <w:sz w:val="21"/>
                <w:szCs w:val="21"/>
              </w:rPr>
              <w:t>法课程标准》开设，并与专业实际和行业发展密切结合。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音乐</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依据《中等职业学校音乐课程标准》开设，并与专业实际和行业发展密切结合。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17</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键盘乐器演奏基础</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依据《中等职业学校键盘乐器课程标准》开设，并与专业实际和行业发展密切结合。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3"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18</w:t>
            </w:r>
          </w:p>
        </w:tc>
        <w:tc>
          <w:tcPr>
            <w:tcW w:w="2245" w:type="dxa"/>
            <w:vAlign w:val="center"/>
          </w:tcPr>
          <w:p>
            <w:pPr>
              <w:pStyle w:val="63"/>
              <w:spacing w:line="300" w:lineRule="atLeast"/>
              <w:rPr>
                <w:rFonts w:ascii="宋体" w:hAnsi="宋体" w:cs="宋体"/>
                <w:sz w:val="21"/>
                <w:szCs w:val="21"/>
              </w:rPr>
            </w:pPr>
            <w:r>
              <w:rPr>
                <w:rFonts w:hint="eastAsia" w:ascii="宋体" w:hAnsi="宋体" w:cs="宋体"/>
                <w:sz w:val="21"/>
                <w:szCs w:val="21"/>
              </w:rPr>
              <w:t>美术</w:t>
            </w:r>
          </w:p>
        </w:tc>
        <w:tc>
          <w:tcPr>
            <w:tcW w:w="5415" w:type="dxa"/>
            <w:vAlign w:val="center"/>
          </w:tcPr>
          <w:p>
            <w:pPr>
              <w:pStyle w:val="63"/>
              <w:spacing w:line="240" w:lineRule="auto"/>
              <w:rPr>
                <w:rFonts w:ascii="宋体" w:hAnsi="宋体" w:cs="宋体"/>
                <w:sz w:val="21"/>
                <w:szCs w:val="21"/>
              </w:rPr>
            </w:pPr>
            <w:r>
              <w:rPr>
                <w:rFonts w:hint="eastAsia" w:ascii="宋体" w:hAnsi="宋体" w:cs="宋体"/>
                <w:sz w:val="21"/>
                <w:szCs w:val="21"/>
              </w:rPr>
              <w:t>依据《中等职业学校美术课程标准》开设，并与专业实际和行业发展密切结合。</w:t>
            </w:r>
          </w:p>
        </w:tc>
        <w:tc>
          <w:tcPr>
            <w:tcW w:w="1188" w:type="dxa"/>
            <w:vAlign w:val="center"/>
          </w:tcPr>
          <w:p>
            <w:pPr>
              <w:pStyle w:val="63"/>
              <w:spacing w:line="300" w:lineRule="atLeast"/>
              <w:jc w:val="center"/>
              <w:rPr>
                <w:rFonts w:ascii="宋体" w:hAnsi="宋体" w:cs="宋体"/>
                <w:sz w:val="21"/>
                <w:szCs w:val="21"/>
              </w:rPr>
            </w:pPr>
            <w:r>
              <w:rPr>
                <w:rFonts w:hint="eastAsia" w:ascii="宋体" w:hAnsi="宋体" w:cs="宋体"/>
                <w:sz w:val="21"/>
                <w:szCs w:val="21"/>
              </w:rPr>
              <w:t>160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（二）专业课及要求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1.保育师口语与沟通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口语是教师传授知识和教育学生的最主要手段，又是学生接受语言教育和语言训练的最直接范本。在训练学生口语的过程中，教师的言语是学生模仿的标本，通过课堂教学和课外活动，学生不仅从教师那里学到了知识，而且学到了语言，教育学生热爱祖国语言，认真学习、积极贯彻国家语言文字工作方针政策，增强语言规范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是研究保育师口语运用规律的一门应用语言学科，系统地讲述普通话的理论基础和基本知识，结合普通话水平测试的要求和方法进行教学，使学生不仅能掌握普通话的基本知识，普通话水平测试的方法和技巧，还要培养和提高学生在教育教学工作中口语运用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能用标准或比较标准的普通话进行口语交际；初步掌握运用教师职业语言进行教育、教学的基本技能，并能对幼儿的口语进行指导，掌握幼儿故事讲演的基本特征，形象的表达幼儿故事的过程及教育意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2.幼儿卫生保健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掌握学前儿童解剖生理特点、生长发育规律及健康评价；掌握幼儿生长发育过程中的营养需求情况及膳食配制，熟悉托幼机构的膳食管理；系统了解幼儿常见心理卫生问题的表现和原因，并能正确采取相应矫正措施；熟悉教育环境创设及教育过程中的卫生要求；学习学前儿童常见疾病的相关知识和护理原则；掌握幼儿意外事故发生的基本急救措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课程内容：本课程是中职学前教育的专业核心课程，是一门研究如何保护和增进幼儿健康的学科。以《幼儿园工作规程》和《3-6 岁儿童学习和发展指南》为指导，不仅注重儿童的现实保健问题，更注重儿童健康行为的养成。全面系统地阐述了学前儿童解剖生理特点、生长发育规律、心理卫生、营养、环境创设卫生、疾病预防、意外急救等基本保健知识和技能。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全面掌握学前儿童卫生与保健的基本理论和技能，能够分析幼儿实际生活中的卫生现象，采取正确措施保证幼儿健康，促进幼儿生理、心理、社会三个方面健康发展，并注重自身健康，提升专业素养，为以后有效的开展托幼机构的卫生保健工作打下坚实的基础。</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3.学前儿童发展心理学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掌握学前儿童生理发展、认知过程、情绪情感过程、社会化、个性等方面发展规律和各年龄阶段发展的特征；了解儿童发展差异形成的因素，初步掌握研究学前儿童心理的主要方法；能够知道学前儿童学习的主要方式和特点；学会观察与解释幼儿的行为，能够正确判断、解释和说明有关幼儿的想象与现实混淆等等容易出现的情况，解决一般的幼儿心理问题。</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本课程着重阐述了发展心理学里面涉及到学前儿童这个年龄段的心理发展特点以及心理发展的基本规律，主要介绍学前儿童心理发展的特点，揭示学前儿童心理发展的需求与现有水平之间的矛盾，能够有一个全新的视角去看待幼儿的一些行为，对学生在将来能在幼儿园科学有效育儿的实地工作中起着重要的作用，能结合例子，让学生直观感受到幼儿的生活，并且能够应用到以后的实践操作中。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教学要求：通过对学前儿童教育系统中的幼儿心理发展与心理规律知识的学习，结合幼儿生活实例，理论联系实际，理解并运用各种教育措施以及研究方法来解决实际问题，使学生能在以后的教育工作中不仅可以结合各项技能学以致用，并且能够促进幼儿身心健康的和谐发展。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4.幼儿文学</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本课程目标定位为知识、能力、素质“三位一体”的课程目标，通过幼儿文学的学习，提高幼儿保育专业学生的幼儿文学基本素养，使他们具有幼儿文学鉴赏的能力，具有幼儿文学创编表演的能力，具有组织幼儿文学教学活动的能力，能很好适应以后工作岗位的需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以基础知识为指导，技能训练为目的，瞄准幼儿文学鉴赏、创编、表演等职业能力的培养，尝试打破传统幼儿文学的教材模式，内容包含幼儿文学基本理论、儿歌、幼儿散文、童话和寓言、幼儿故事、幼儿图画文学、幼儿戏剧和影视文学等7个项目。</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教学要求：根据幼儿文学的特点和内容，安排采用项目化教学，探索实践教、学、做一体化教学模式，实施案例学习、阅读鉴赏、作品创编、展示交流、表演讲授五段式学习模式。</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5.幼儿教育政策与法规</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门课程的学习，使学生能够比较系统地获得幼儿教育政策和法规等方面的基础知识，掌握、理解现行幼儿教育政策、法规及基本理论知识，能够初步运用法律武器解决幼儿教育活动中出现的法律问题，为依法施教奠定基础，帮助学生逐步规范自己的幼儿教育行为。</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w:t>
      </w:r>
      <w:r>
        <w:rPr>
          <w:rFonts w:ascii="仿宋" w:hAnsi="仿宋" w:eastAsia="仿宋" w:cs="仿宋"/>
          <w:sz w:val="30"/>
          <w:szCs w:val="30"/>
        </w:rPr>
        <w:t>内容</w:t>
      </w:r>
      <w:r>
        <w:rPr>
          <w:rFonts w:hint="eastAsia" w:ascii="仿宋" w:hAnsi="仿宋" w:eastAsia="仿宋" w:cs="仿宋"/>
          <w:sz w:val="30"/>
          <w:szCs w:val="30"/>
        </w:rPr>
        <w:t>：</w:t>
      </w:r>
      <w:r>
        <w:rPr>
          <w:rFonts w:ascii="仿宋" w:hAnsi="仿宋" w:eastAsia="仿宋" w:cs="仿宋"/>
          <w:sz w:val="30"/>
          <w:szCs w:val="30"/>
        </w:rPr>
        <w:t>包括幼儿教育政策与法规、学前教育的管理体制、幼儿园的开办与管理、幼儿园的保育和教育、幼儿的权利与保护、幼儿园的工作人员、幼儿园的对外沟通与合作、我国学前教育的改革动态与发展方向、国外学前教育与保育。</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 在本课程的教学环节中，教师在充分发挥自身作用的同时，还要充分调动学生的积极性和主动性。由于本课程部分的知识更新较快，如对相应政策的学习，在教学中教师要指导学生去查阅学习最新的知识，并与学生一起讨论更新的原因和背景，如何利用最新的知识指导实践。本课程实践性较强，所以在教学中要注重理论与实际的联系，注重培养和提高学生的操作能力、分析能力。教学中要列举大量的实例，根据实例分析幼儿园中常出现的行政法律问题和行政法律纠纷；对幼儿园中常出现的民事法律问题和民事法律纠纷进行分析；分析幼儿园中常出现的一些刑事案件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6.幼儿教育学</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幼儿教育学是幼儿保育的重点课程之一，有着十分重要的作用。幼儿教育学旨在培养保育员的职业素养，提高保育员的幼儿教育意识，熟悉各个国家、地方的幼儿教育政策法规，理解幼儿游戏、活动等设计安排，能辅助幼儿教师进行课程设计，教学评价等活动，是一门基础课程。</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课程内容：本课程主要从职业素养、基本理论知识，专业技能三个维度对教学内容进行规划设计，主要化分工作任务完成学习活动，学生能基本运用所学幼儿教育理论等相关知识，辅助幼儿教师开展教育活动。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是中等职业学校幼儿保育专业的基础课程，本课程教学过程中注重理论联系实际，开展教学实习活动，要求学生每学期到幼儿园跟班听课和实习，使学生了解幼儿保育的政策与法规，掌握幼儿园课程教学、游戏、保育的一般原理，具有正确实施保育，辅助幼儿教师开展教育教学活动的工作能力，能胜任保育员，育婴师等岗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7.婴幼儿照护</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课程目标：熟知婴幼儿体格测量与评价方法；理解并掌握 </w:t>
      </w:r>
      <w:r>
        <w:rPr>
          <w:rFonts w:ascii="仿宋" w:hAnsi="仿宋" w:eastAsia="仿宋" w:cs="仿宋"/>
          <w:sz w:val="30"/>
          <w:szCs w:val="30"/>
        </w:rPr>
        <w:t>0-</w:t>
      </w:r>
      <w:r>
        <w:rPr>
          <w:rFonts w:hint="eastAsia" w:ascii="仿宋" w:hAnsi="仿宋" w:eastAsia="仿宋" w:cs="仿宋"/>
          <w:sz w:val="30"/>
          <w:szCs w:val="30"/>
        </w:rPr>
        <w:t>6</w:t>
      </w:r>
      <w:r>
        <w:rPr>
          <w:rFonts w:ascii="仿宋" w:hAnsi="仿宋" w:eastAsia="仿宋" w:cs="仿宋"/>
          <w:sz w:val="30"/>
          <w:szCs w:val="30"/>
        </w:rPr>
        <w:t xml:space="preserve"> </w:t>
      </w:r>
      <w:r>
        <w:rPr>
          <w:rFonts w:hint="eastAsia" w:ascii="仿宋" w:hAnsi="仿宋" w:eastAsia="仿宋" w:cs="仿宋"/>
          <w:sz w:val="30"/>
          <w:szCs w:val="30"/>
        </w:rPr>
        <w:t>岁婴幼儿营养与喂养及日常生活照护等方面的基本理论知识；具备常用体格测量与评价技能；具备婴幼儿体格锻炼、辅食制作、清洁与消毒、日常生活照护等基本技能；了解早教保育对儿童发展的重要意义；培养热爱婴幼儿、热爱婴幼儿保教工作的职业情感和态度。</w:t>
      </w:r>
    </w:p>
    <w:p>
      <w:pPr>
        <w:rPr>
          <w:rFonts w:ascii="仿宋" w:hAnsi="仿宋" w:eastAsia="仿宋" w:cs="仿宋"/>
          <w:sz w:val="30"/>
          <w:szCs w:val="30"/>
        </w:rPr>
      </w:pPr>
      <w:r>
        <w:rPr>
          <w:rFonts w:hint="eastAsia" w:ascii="仿宋" w:hAnsi="仿宋" w:eastAsia="仿宋" w:cs="仿宋"/>
          <w:sz w:val="30"/>
          <w:szCs w:val="30"/>
        </w:rPr>
        <w:t>课程内容：课程在吸收借鉴儿科护理学、儿童营养学和保健学等基础上，将内容分为课程概述、生长发育、体格锻炼、喂养、卫生照料、日常生活照料、常用家庭护理与急救技术、课程总结等。课程构建中融入职业道德、爱岗敬业等思政教育元素，充分体现现代养护观念。</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教学要求：分为理论和实操两方面学习，通过理论学习，使学生对知识的掌握更扎实，扩充知识面；通过实操的反复练习，提高学生的动手能力和参与性，能学以致用。</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8.0-3岁婴幼儿抚养教育</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课程目标：具备早期教育指导师基本的职业素养，能帮助家长直观而深入地开展亲子活动，进行循序渐进的指导，提高指导效率，优化教育行为，形成科学的育儿观，促进婴幼儿健康成长。</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课程内容：针对婴幼儿个体发展特点和需要，以理论和案例分析相结合的方式阐述婴幼儿早期教育亲子活动的设计与指导。</w:t>
      </w:r>
    </w:p>
    <w:p>
      <w:pPr>
        <w:spacing w:line="50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教学要求：具备对婴幼儿及家长开展的具有指导性、科学性、游戏性、互动性的学习活动能力。包括托育教育活动、早期教育机构进行的教育活动、入户指导活动、互联网+早教活动等。</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9.幼儿园教育活动设计与指导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课程目标：课程力图渗透幼儿园教改的新思路、新实践、新认识，尽可能继承和发挥传统教学的优点，促进学生掌握从事学前教育工作所必需的幼儿园活动设计的基础知识和相应的专业技能。</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课程内容：本课程是中职学前教育的专业核心课程。本课程内容立足于运用教育学、心理学知识，将课程理论与教学设计相结合，侧重幼儿园活动的设计指导与方案评析，以活动设计思想为主线，运用丰富的教学案例，通过形式多样的教学训练方式促进学生综合能力的形成。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指导学生在掌握学前教育专业相关理论的基础上，能将理论与实践相结合，提高设计和组织教育活动的基本技能；理解幼儿园活动设计的内涵，具备活动设计的理论功底和实际操作的能力。培养学生具有敬岗爱业，遵纪守时，吃苦耐劳，积极主动等良好的职业道德；具有一定的沟通，团队合作，语言表达，文字表达，自我学习等职业综合素质；有一定的提出问题，分析问题，解决问题等开拓创新综合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10.婴幼儿行为观察与引导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提高学生的行为观察技能，并向学生阐述在对幼儿的行为评估中会遇到的一些基本问题。了解幼儿行为观察方法的种类，掌握进行观察幼儿行为的具体步骤，具备设计和实施幼儿行为观察和记录的能力。</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课程内容:学习观察记录的各个步骤和观察法，以及如何应用观察来对幼儿进行评估。为了让学生能熟知各种观察方法的优劣，课堂上将引入大量的案例并提供自我实践的机会，学生将以小组的形式完成观察记录作业。</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教学要求:要求学生了解并掌握不同观察儿童行为的方法，并能在幼儿园见习的过程中利用所学的观察要点和技巧对幼儿进行目标清晰、方法适宜、计划周全的观察记录，形成观察报告。</w:t>
      </w:r>
    </w:p>
    <w:p>
      <w:pPr>
        <w:spacing w:line="480" w:lineRule="exact"/>
        <w:ind w:firstLine="560" w:firstLineChars="200"/>
        <w:jc w:val="center"/>
        <w:rPr>
          <w:b/>
          <w:sz w:val="28"/>
          <w:szCs w:val="28"/>
        </w:rPr>
      </w:pPr>
      <w:r>
        <w:rPr>
          <w:rFonts w:hint="eastAsia"/>
          <w:b/>
          <w:sz w:val="28"/>
          <w:szCs w:val="28"/>
        </w:rPr>
        <w:t>专业课程设置及学时分配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340"/>
        <w:gridCol w:w="6056"/>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98" w:type="dxa"/>
            <w:tcBorders>
              <w:top w:val="single" w:color="auto" w:sz="8" w:space="0"/>
              <w:left w:val="single" w:color="auto" w:sz="8"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Ansi="黑体" w:eastAsia="黑体"/>
                <w:sz w:val="24"/>
                <w:szCs w:val="24"/>
              </w:rPr>
              <w:t>序号</w:t>
            </w:r>
          </w:p>
        </w:tc>
        <w:tc>
          <w:tcPr>
            <w:tcW w:w="2340"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int="eastAsia" w:hAnsi="黑体" w:eastAsia="黑体"/>
                <w:sz w:val="24"/>
                <w:szCs w:val="24"/>
              </w:rPr>
              <w:t>课程名称</w:t>
            </w:r>
          </w:p>
        </w:tc>
        <w:tc>
          <w:tcPr>
            <w:tcW w:w="6056"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jc w:val="center"/>
              <w:rPr>
                <w:rFonts w:hAnsi="黑体" w:eastAsia="黑体"/>
                <w:sz w:val="24"/>
                <w:szCs w:val="24"/>
              </w:rPr>
            </w:pPr>
            <w:r>
              <w:rPr>
                <w:rFonts w:hint="eastAsia" w:hAnsi="黑体" w:eastAsia="黑体"/>
                <w:sz w:val="24"/>
                <w:szCs w:val="24"/>
              </w:rPr>
              <w:t>主要教学内容和要求</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jc w:val="center"/>
              <w:rPr>
                <w:rFonts w:hAnsi="黑体" w:eastAsia="黑体"/>
                <w:sz w:val="24"/>
                <w:szCs w:val="24"/>
              </w:rPr>
            </w:pPr>
            <w:r>
              <w:rPr>
                <w:rFonts w:hAnsi="黑体" w:eastAsia="黑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698" w:type="dxa"/>
            <w:tcBorders>
              <w:top w:val="single" w:color="auto" w:sz="8" w:space="0"/>
              <w:left w:val="single" w:color="auto" w:sz="8" w:space="0"/>
              <w:bottom w:val="single" w:color="auto" w:sz="4" w:space="0"/>
              <w:right w:val="single" w:color="auto" w:sz="4"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2340"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保育师口语与沟通</w:t>
            </w:r>
          </w:p>
        </w:tc>
        <w:tc>
          <w:tcPr>
            <w:tcW w:w="6056" w:type="dxa"/>
            <w:tcBorders>
              <w:top w:val="single" w:color="auto" w:sz="8" w:space="0"/>
              <w:left w:val="single" w:color="auto" w:sz="4" w:space="0"/>
              <w:bottom w:val="single" w:color="auto" w:sz="4" w:space="0"/>
              <w:right w:val="single" w:color="auto" w:sz="4" w:space="0"/>
            </w:tcBorders>
          </w:tcPr>
          <w:p>
            <w:pPr>
              <w:pStyle w:val="63"/>
              <w:ind w:firstLine="210" w:firstLineChars="100"/>
              <w:rPr>
                <w:rFonts w:hint="eastAsia" w:ascii="宋体" w:hAnsi="宋体" w:eastAsia="宋体" w:cs="宋体"/>
                <w:position w:val="10"/>
                <w:sz w:val="21"/>
              </w:rPr>
            </w:pPr>
            <w:r>
              <w:rPr>
                <w:rFonts w:hint="eastAsia" w:ascii="宋体" w:hAnsi="宋体" w:eastAsia="宋体" w:cs="宋体"/>
                <w:sz w:val="21"/>
                <w:szCs w:val="21"/>
                <w:lang w:val="en-US" w:eastAsia="zh-CN"/>
              </w:rPr>
              <w:t>本课程是研究保育师口语运用规律的一门应用语言学科，系统地讲述普通话的理论基础和基本知识，结合普通话水平测试的要求和方法进行教学，使学生不仅能掌握</w:t>
            </w:r>
            <w:r>
              <w:rPr>
                <w:rFonts w:hint="eastAsia" w:ascii="宋体" w:hAnsi="宋体" w:eastAsia="宋体" w:cs="宋体"/>
                <w:spacing w:val="-4"/>
                <w:sz w:val="21"/>
                <w:szCs w:val="21"/>
                <w:lang w:val="en-US" w:eastAsia="zh-CN"/>
              </w:rPr>
              <w:t>普通话</w:t>
            </w:r>
            <w:r>
              <w:rPr>
                <w:rFonts w:hint="eastAsia" w:ascii="宋体" w:hAnsi="宋体" w:eastAsia="宋体" w:cs="宋体"/>
                <w:sz w:val="21"/>
                <w:szCs w:val="21"/>
                <w:lang w:val="en-US" w:eastAsia="zh-CN"/>
              </w:rPr>
              <w:t>的基本知识，普通话水平测试的方法和技巧，还要培养和提高学生在教育教学工作中口语运用能力，初步掌握运用教师职业语言进行教育、教学的基本技能，并能对幼儿的口语进行指导，掌握</w:t>
            </w:r>
            <w:r>
              <w:rPr>
                <w:rFonts w:hint="eastAsia" w:ascii="宋体" w:hAnsi="宋体" w:eastAsia="宋体" w:cs="宋体"/>
                <w:position w:val="10"/>
                <w:sz w:val="21"/>
                <w:lang w:val="en-US" w:eastAsia="zh-CN"/>
              </w:rPr>
              <w:t>幼儿</w:t>
            </w:r>
            <w:r>
              <w:rPr>
                <w:rFonts w:hint="eastAsia" w:ascii="宋体" w:hAnsi="宋体" w:eastAsia="宋体" w:cs="宋体"/>
                <w:sz w:val="21"/>
                <w:szCs w:val="21"/>
                <w:lang w:val="en-US" w:eastAsia="zh-CN"/>
              </w:rPr>
              <w:t>故事讲演的基本特征，形象的表达幼儿故事的过程及教育意义。</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98" w:type="dxa"/>
            <w:tcBorders>
              <w:top w:val="single" w:color="auto" w:sz="8" w:space="0"/>
              <w:left w:val="single" w:color="auto" w:sz="8" w:space="0"/>
              <w:bottom w:val="single" w:color="auto" w:sz="8" w:space="0"/>
              <w:right w:val="single" w:color="auto" w:sz="4"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2340"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幼儿卫生保健</w:t>
            </w:r>
          </w:p>
        </w:tc>
        <w:tc>
          <w:tcPr>
            <w:tcW w:w="6056" w:type="dxa"/>
            <w:tcBorders>
              <w:top w:val="single" w:color="auto" w:sz="8" w:space="0"/>
              <w:left w:val="single" w:color="auto" w:sz="4" w:space="0"/>
              <w:bottom w:val="single" w:color="auto" w:sz="8" w:space="0"/>
              <w:right w:val="single" w:color="auto" w:sz="4" w:space="0"/>
            </w:tcBorders>
          </w:tcPr>
          <w:p>
            <w:pPr>
              <w:pStyle w:val="63"/>
              <w:ind w:firstLine="210" w:firstLineChars="100"/>
              <w:rPr>
                <w:rFonts w:hint="eastAsia" w:ascii="宋体" w:hAnsi="宋体" w:eastAsia="宋体" w:cs="宋体"/>
                <w:sz w:val="21"/>
                <w:szCs w:val="21"/>
              </w:rPr>
            </w:pPr>
            <w:r>
              <w:rPr>
                <w:rFonts w:hint="eastAsia" w:ascii="宋体" w:hAnsi="宋体" w:eastAsia="宋体" w:cs="宋体"/>
                <w:snapToGrid w:val="0"/>
                <w:kern w:val="2"/>
                <w:position w:val="10"/>
                <w:sz w:val="21"/>
                <w:szCs w:val="21"/>
                <w:lang w:val="en-US" w:eastAsia="zh-CN" w:bidi="ar-SA"/>
              </w:rPr>
              <w:t>学前儿童解剖生理特点、生长发育规律、心理卫生、营养、环境创设卫生、疾病预防、意外急救等基本保健知识和技能。全面掌握学前儿童卫生与保健的基本理论和技能，能够分析幼儿实际生活中的卫生现象，采取正确措施保证幼儿健康，促进幼儿生理、心理、社会健康发展。</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spacing w:line="300" w:lineRule="atLeast"/>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8" w:type="dxa"/>
            <w:tcBorders>
              <w:top w:val="single" w:color="auto" w:sz="8" w:space="0"/>
              <w:left w:val="single" w:color="auto" w:sz="8" w:space="0"/>
              <w:bottom w:val="single" w:color="auto" w:sz="8"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3</w:t>
            </w:r>
          </w:p>
        </w:tc>
        <w:tc>
          <w:tcPr>
            <w:tcW w:w="2340" w:type="dxa"/>
            <w:tcBorders>
              <w:top w:val="single" w:color="auto" w:sz="8" w:space="0"/>
              <w:left w:val="single" w:color="auto" w:sz="4" w:space="0"/>
              <w:bottom w:val="single" w:color="auto" w:sz="8"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学前儿童发展心理学</w:t>
            </w:r>
          </w:p>
        </w:tc>
        <w:tc>
          <w:tcPr>
            <w:tcW w:w="6056" w:type="dxa"/>
            <w:tcBorders>
              <w:top w:val="single" w:color="auto" w:sz="8" w:space="0"/>
              <w:left w:val="single" w:color="auto" w:sz="4" w:space="0"/>
              <w:bottom w:val="single" w:color="auto" w:sz="8" w:space="0"/>
              <w:right w:val="single" w:color="auto" w:sz="4" w:space="0"/>
            </w:tcBorders>
          </w:tcPr>
          <w:p>
            <w:pPr>
              <w:pStyle w:val="63"/>
              <w:ind w:firstLine="210" w:firstLineChars="100"/>
              <w:rPr>
                <w:rFonts w:hint="eastAsia" w:ascii="宋体" w:hAnsi="宋体" w:eastAsia="宋体" w:cs="宋体"/>
                <w:sz w:val="21"/>
                <w:szCs w:val="21"/>
              </w:rPr>
            </w:pPr>
            <w:r>
              <w:rPr>
                <w:rFonts w:hint="eastAsia" w:ascii="宋体" w:hAnsi="宋体" w:eastAsia="宋体" w:cs="宋体"/>
                <w:sz w:val="21"/>
                <w:szCs w:val="21"/>
              </w:rPr>
              <w:t>着</w:t>
            </w:r>
            <w:r>
              <w:rPr>
                <w:rFonts w:hint="eastAsia" w:ascii="宋体" w:hAnsi="宋体" w:eastAsia="宋体" w:cs="宋体"/>
                <w:snapToGrid w:val="0"/>
                <w:kern w:val="2"/>
                <w:position w:val="10"/>
                <w:sz w:val="21"/>
                <w:szCs w:val="21"/>
                <w:lang w:val="en-US" w:eastAsia="zh-CN" w:bidi="ar-SA"/>
              </w:rPr>
              <w:t>重阐述发展心理学里面涉及到学前儿童这个年龄段的心理发展特点以及心理发展的基本规律，主要介绍学前儿童心理发展的特点，揭示学前儿童心理发展的需求与现有水平之间的矛盾。通过对学前儿童教育系统中的幼儿心理发展与心理</w:t>
            </w:r>
            <w:r>
              <w:rPr>
                <w:rFonts w:hint="eastAsia" w:ascii="宋体" w:hAnsi="宋体" w:eastAsia="宋体" w:cs="宋体"/>
                <w:spacing w:val="-4"/>
                <w:sz w:val="21"/>
                <w:szCs w:val="21"/>
                <w:lang w:val="en-US" w:eastAsia="zh-CN"/>
              </w:rPr>
              <w:t>规律</w:t>
            </w:r>
            <w:r>
              <w:rPr>
                <w:rFonts w:hint="eastAsia" w:ascii="宋体" w:hAnsi="宋体" w:eastAsia="宋体" w:cs="宋体"/>
                <w:snapToGrid w:val="0"/>
                <w:kern w:val="2"/>
                <w:position w:val="10"/>
                <w:sz w:val="21"/>
                <w:szCs w:val="21"/>
                <w:lang w:val="en-US" w:eastAsia="zh-CN" w:bidi="ar-SA"/>
              </w:rPr>
              <w:t>知识的学习，结合幼儿生活实例，理论联系实际，理解并运用各种教育措施以及研究方法来解决实际问题。</w:t>
            </w:r>
          </w:p>
        </w:tc>
        <w:tc>
          <w:tcPr>
            <w:tcW w:w="761" w:type="dxa"/>
            <w:tcBorders>
              <w:top w:val="single" w:color="auto" w:sz="8" w:space="0"/>
              <w:left w:val="single" w:color="auto" w:sz="4" w:space="0"/>
              <w:bottom w:val="single" w:color="auto" w:sz="8"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698" w:type="dxa"/>
            <w:tcBorders>
              <w:top w:val="single" w:color="auto" w:sz="8"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4</w:t>
            </w:r>
          </w:p>
        </w:tc>
        <w:tc>
          <w:tcPr>
            <w:tcW w:w="2340"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幼儿文学</w:t>
            </w:r>
          </w:p>
        </w:tc>
        <w:tc>
          <w:tcPr>
            <w:tcW w:w="6056" w:type="dxa"/>
            <w:tcBorders>
              <w:top w:val="single" w:color="auto" w:sz="8" w:space="0"/>
              <w:left w:val="single" w:color="auto" w:sz="4" w:space="0"/>
              <w:bottom w:val="single" w:color="auto" w:sz="4" w:space="0"/>
              <w:right w:val="single" w:color="auto" w:sz="4" w:space="0"/>
            </w:tcBorders>
          </w:tcPr>
          <w:p>
            <w:pPr>
              <w:pStyle w:val="63"/>
              <w:ind w:firstLine="210" w:firstLineChars="100"/>
              <w:rPr>
                <w:rFonts w:hint="eastAsia" w:ascii="宋体" w:hAnsi="宋体" w:eastAsia="宋体" w:cs="宋体"/>
                <w:position w:val="10"/>
                <w:sz w:val="21"/>
              </w:rPr>
            </w:pPr>
            <w:r>
              <w:rPr>
                <w:rFonts w:hint="eastAsia" w:ascii="宋体" w:hAnsi="宋体" w:eastAsia="宋体" w:cs="宋体"/>
                <w:position w:val="10"/>
                <w:sz w:val="21"/>
              </w:rPr>
              <w:t>本课程内容包含幼儿文学基本理论、儿歌、幼儿散文、童话和寓言、幼儿故事、幼儿图画文学、幼儿戏剧和影视文学等7个项目。根据幼儿文学的特点和内容，安排采用</w:t>
            </w:r>
            <w:r>
              <w:rPr>
                <w:rFonts w:hint="eastAsia" w:ascii="宋体" w:hAnsi="宋体" w:eastAsia="宋体" w:cs="宋体"/>
                <w:spacing w:val="-4"/>
                <w:sz w:val="21"/>
                <w:szCs w:val="21"/>
              </w:rPr>
              <w:t>项目</w:t>
            </w:r>
            <w:r>
              <w:rPr>
                <w:rFonts w:hint="eastAsia" w:ascii="宋体" w:hAnsi="宋体" w:eastAsia="宋体" w:cs="宋体"/>
                <w:position w:val="10"/>
                <w:sz w:val="21"/>
              </w:rPr>
              <w:t>化教学，探索实践教、学、做一体化教学模式，实施案例学习、阅读鉴赏、作品创编、展示交流、表演讲授五段式学习模式。</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98" w:type="dxa"/>
            <w:tcBorders>
              <w:top w:val="single" w:color="auto" w:sz="4"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5</w:t>
            </w:r>
          </w:p>
        </w:tc>
        <w:tc>
          <w:tcPr>
            <w:tcW w:w="2340"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幼儿教育政策与法规</w:t>
            </w:r>
          </w:p>
        </w:tc>
        <w:tc>
          <w:tcPr>
            <w:tcW w:w="6056" w:type="dxa"/>
            <w:tcBorders>
              <w:top w:val="single" w:color="auto" w:sz="4" w:space="0"/>
              <w:left w:val="single" w:color="auto" w:sz="4" w:space="0"/>
              <w:bottom w:val="single" w:color="auto" w:sz="4" w:space="0"/>
              <w:right w:val="single" w:color="auto" w:sz="4" w:space="0"/>
            </w:tcBorders>
          </w:tcPr>
          <w:p>
            <w:pPr>
              <w:pStyle w:val="63"/>
              <w:ind w:firstLine="210" w:firstLineChars="100"/>
              <w:rPr>
                <w:rFonts w:hint="eastAsia" w:ascii="宋体" w:hAnsi="宋体" w:eastAsia="宋体" w:cs="宋体"/>
                <w:position w:val="10"/>
                <w:sz w:val="21"/>
              </w:rPr>
            </w:pPr>
            <w:r>
              <w:rPr>
                <w:rFonts w:hint="eastAsia" w:ascii="宋体" w:hAnsi="宋体" w:eastAsia="宋体" w:cs="宋体"/>
                <w:snapToGrid w:val="0"/>
                <w:kern w:val="2"/>
                <w:position w:val="10"/>
                <w:sz w:val="21"/>
                <w:szCs w:val="21"/>
                <w:lang w:val="en-US" w:eastAsia="zh-CN" w:bidi="ar-SA"/>
              </w:rPr>
              <w:t>课程内容包括幼儿教育政策与法规、学前教育的管理体制、幼儿园的开办与管理、幼儿园的保育和教育、幼儿的权利与保护、幼儿园的工作人员、幼儿园的</w:t>
            </w:r>
            <w:r>
              <w:rPr>
                <w:rFonts w:hint="eastAsia" w:ascii="宋体" w:hAnsi="宋体" w:eastAsia="宋体" w:cs="宋体"/>
                <w:position w:val="10"/>
                <w:sz w:val="21"/>
                <w:lang w:val="en-US" w:eastAsia="zh-CN"/>
              </w:rPr>
              <w:t>对外</w:t>
            </w:r>
            <w:r>
              <w:rPr>
                <w:rFonts w:hint="eastAsia" w:ascii="宋体" w:hAnsi="宋体" w:eastAsia="宋体" w:cs="宋体"/>
                <w:snapToGrid w:val="0"/>
                <w:kern w:val="2"/>
                <w:position w:val="10"/>
                <w:sz w:val="21"/>
                <w:szCs w:val="21"/>
                <w:lang w:val="en-US" w:eastAsia="zh-CN" w:bidi="ar-SA"/>
              </w:rPr>
              <w:t>沟通与合作、</w:t>
            </w:r>
            <w:r>
              <w:rPr>
                <w:rFonts w:hint="eastAsia" w:ascii="宋体" w:hAnsi="宋体" w:eastAsia="宋体" w:cs="宋体"/>
                <w:spacing w:val="-4"/>
                <w:sz w:val="21"/>
                <w:szCs w:val="21"/>
                <w:lang w:val="en-US" w:eastAsia="zh-CN"/>
              </w:rPr>
              <w:t>我国</w:t>
            </w:r>
            <w:r>
              <w:rPr>
                <w:rFonts w:hint="eastAsia" w:ascii="宋体" w:hAnsi="宋体" w:eastAsia="宋体" w:cs="宋体"/>
                <w:snapToGrid w:val="0"/>
                <w:kern w:val="2"/>
                <w:position w:val="10"/>
                <w:sz w:val="21"/>
                <w:szCs w:val="21"/>
                <w:lang w:val="en-US" w:eastAsia="zh-CN" w:bidi="ar-SA"/>
              </w:rPr>
              <w:t>学前教育的改革动态与发展方向、国外学前教育与保育。在本课程的教学环节中，教师在充分发挥自身作用的同时，还要充分调动学生的积极性和主动性。由于本课程部分的知识更新较快，在教学中教师要指导学生去查阅学习最新的知识，并与学生一起讨论更新的原因和背景，如何利用最新的知识指导实践。在教学中要注重理论与实际的联系，注重培养和提高学生的操作能力、分析能力。</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98" w:type="dxa"/>
            <w:tcBorders>
              <w:top w:val="single" w:color="auto" w:sz="4"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6</w:t>
            </w:r>
          </w:p>
        </w:tc>
        <w:tc>
          <w:tcPr>
            <w:tcW w:w="2340"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幼儿教育学</w:t>
            </w:r>
          </w:p>
        </w:tc>
        <w:tc>
          <w:tcPr>
            <w:tcW w:w="6056" w:type="dxa"/>
            <w:tcBorders>
              <w:top w:val="single" w:color="auto" w:sz="4" w:space="0"/>
              <w:left w:val="single" w:color="auto" w:sz="4" w:space="0"/>
              <w:bottom w:val="single" w:color="auto" w:sz="4" w:space="0"/>
              <w:right w:val="single" w:color="auto" w:sz="4" w:space="0"/>
            </w:tcBorders>
          </w:tcPr>
          <w:p>
            <w:pPr>
              <w:pStyle w:val="63"/>
              <w:ind w:firstLine="210" w:firstLineChars="100"/>
              <w:rPr>
                <w:rFonts w:hint="eastAsia" w:ascii="宋体" w:hAnsi="宋体" w:eastAsia="宋体" w:cs="宋体"/>
                <w:sz w:val="21"/>
                <w:szCs w:val="21"/>
              </w:rPr>
            </w:pPr>
            <w:r>
              <w:rPr>
                <w:rFonts w:hint="eastAsia" w:ascii="宋体" w:hAnsi="宋体" w:eastAsia="宋体" w:cs="宋体"/>
                <w:sz w:val="21"/>
                <w:szCs w:val="21"/>
              </w:rPr>
              <w:t>本课程主要从职业素养、基本理论知识，专业技能三个维度对教学内容进行规划设计，主要化分工作任务完成学习活动，学生能基本运用所学幼儿教育理论等相关知识，辅助幼儿教师开展教育活动。本课程教学过程中注重理论联系实际，开展教学实习活动，使学生了解幼儿保育的政策与法规，掌握幼儿园课程教学、游戏、保育的一般原理。</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698" w:type="dxa"/>
            <w:tcBorders>
              <w:top w:val="single" w:color="auto" w:sz="8"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7</w:t>
            </w:r>
          </w:p>
        </w:tc>
        <w:tc>
          <w:tcPr>
            <w:tcW w:w="2340"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婴幼儿照护</w:t>
            </w:r>
          </w:p>
        </w:tc>
        <w:tc>
          <w:tcPr>
            <w:tcW w:w="6056" w:type="dxa"/>
            <w:tcBorders>
              <w:top w:val="single" w:color="auto" w:sz="8" w:space="0"/>
              <w:left w:val="single" w:color="auto" w:sz="4" w:space="0"/>
              <w:bottom w:val="single" w:color="auto" w:sz="4" w:space="0"/>
              <w:right w:val="single" w:color="auto" w:sz="4" w:space="0"/>
            </w:tcBorders>
          </w:tcPr>
          <w:p>
            <w:pPr>
              <w:pStyle w:val="63"/>
              <w:ind w:firstLine="210" w:firstLineChars="100"/>
              <w:rPr>
                <w:rFonts w:hint="eastAsia" w:ascii="宋体" w:hAnsi="宋体" w:eastAsia="宋体" w:cs="宋体"/>
                <w:sz w:val="21"/>
                <w:szCs w:val="21"/>
              </w:rPr>
            </w:pPr>
            <w:r>
              <w:rPr>
                <w:rFonts w:hint="eastAsia" w:ascii="宋体" w:hAnsi="宋体" w:eastAsia="宋体" w:cs="宋体"/>
                <w:sz w:val="21"/>
                <w:szCs w:val="21"/>
              </w:rPr>
              <w:t>课程在吸收借鉴儿科护理学、儿童营养学和保健学等基础上，将内容分为课程概述、生长发育、体格</w:t>
            </w:r>
            <w:r>
              <w:rPr>
                <w:rFonts w:hint="eastAsia" w:ascii="宋体" w:hAnsi="宋体" w:eastAsia="宋体" w:cs="宋体"/>
                <w:spacing w:val="-4"/>
                <w:sz w:val="21"/>
                <w:szCs w:val="21"/>
              </w:rPr>
              <w:t>锻炼</w:t>
            </w:r>
            <w:r>
              <w:rPr>
                <w:rFonts w:hint="eastAsia" w:ascii="宋体" w:hAnsi="宋体" w:eastAsia="宋体" w:cs="宋体"/>
                <w:sz w:val="21"/>
                <w:szCs w:val="21"/>
              </w:rPr>
              <w:t>、喂养、卫生照料、日常生活照料、常用家庭护理与急救技术、课程总结等。课程构建中融入职业道德、爱岗敬业等思政教育元素，充分体现现代养护观念。分为理论和实操两方面学习，通过理论学习，使学生对知识的掌握更扎实，扩充知识面；通过实操的反复练习，提高学生的动手能力和参与性，能学以致用。</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698" w:type="dxa"/>
            <w:tcBorders>
              <w:top w:val="single" w:color="auto" w:sz="4"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w:t>
            </w:r>
          </w:p>
        </w:tc>
        <w:tc>
          <w:tcPr>
            <w:tcW w:w="2340"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0-3岁婴幼儿抚养教育</w:t>
            </w:r>
          </w:p>
        </w:tc>
        <w:tc>
          <w:tcPr>
            <w:tcW w:w="6056" w:type="dxa"/>
            <w:tcBorders>
              <w:top w:val="single" w:color="auto" w:sz="4" w:space="0"/>
              <w:left w:val="single" w:color="auto" w:sz="4" w:space="0"/>
              <w:bottom w:val="single" w:color="auto" w:sz="4" w:space="0"/>
              <w:right w:val="single" w:color="auto" w:sz="4" w:space="0"/>
            </w:tcBorders>
          </w:tcPr>
          <w:p>
            <w:pPr>
              <w:pStyle w:val="63"/>
              <w:ind w:firstLine="210" w:firstLineChars="100"/>
              <w:rPr>
                <w:rFonts w:hint="eastAsia" w:ascii="宋体" w:hAnsi="宋体" w:eastAsia="宋体" w:cs="宋体"/>
                <w:sz w:val="21"/>
                <w:szCs w:val="21"/>
              </w:rPr>
            </w:pPr>
            <w:r>
              <w:rPr>
                <w:rFonts w:hint="eastAsia" w:ascii="宋体" w:hAnsi="宋体" w:eastAsia="宋体" w:cs="宋体"/>
                <w:sz w:val="21"/>
                <w:szCs w:val="21"/>
              </w:rPr>
              <w:t>针对婴幼儿个体发展特点和需要，以理论和案例分析相结合的方式阐述婴幼儿早期教育亲子活动的设计与指导。具备对婴幼儿及家长开展的具有指导性、科学性、游戏性、</w:t>
            </w:r>
            <w:r>
              <w:rPr>
                <w:rFonts w:hint="eastAsia" w:ascii="宋体" w:hAnsi="宋体" w:eastAsia="宋体" w:cs="宋体"/>
                <w:spacing w:val="-4"/>
                <w:sz w:val="21"/>
                <w:szCs w:val="21"/>
              </w:rPr>
              <w:t>互动性</w:t>
            </w:r>
            <w:r>
              <w:rPr>
                <w:rFonts w:hint="eastAsia" w:ascii="宋体" w:hAnsi="宋体" w:eastAsia="宋体" w:cs="宋体"/>
                <w:sz w:val="21"/>
                <w:szCs w:val="21"/>
              </w:rPr>
              <w:t>的学习活动能力。包括托育教育活动、早期教育机构进行的教育活动、入户指导活动、互联网+早教活动等。</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698" w:type="dxa"/>
            <w:tcBorders>
              <w:top w:val="single" w:color="auto" w:sz="4"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9</w:t>
            </w:r>
          </w:p>
        </w:tc>
        <w:tc>
          <w:tcPr>
            <w:tcW w:w="2340" w:type="dxa"/>
            <w:tcBorders>
              <w:top w:val="single" w:color="auto" w:sz="4"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幼儿园教育活动设计与指导</w:t>
            </w:r>
          </w:p>
        </w:tc>
        <w:tc>
          <w:tcPr>
            <w:tcW w:w="6056" w:type="dxa"/>
            <w:tcBorders>
              <w:top w:val="single" w:color="auto" w:sz="4" w:space="0"/>
              <w:left w:val="single" w:color="auto" w:sz="4" w:space="0"/>
              <w:bottom w:val="single" w:color="auto" w:sz="4" w:space="0"/>
              <w:right w:val="single" w:color="auto" w:sz="4" w:space="0"/>
            </w:tcBorders>
          </w:tcPr>
          <w:p>
            <w:pPr>
              <w:pStyle w:val="63"/>
              <w:ind w:firstLine="210" w:firstLineChars="100"/>
              <w:rPr>
                <w:rFonts w:hint="eastAsia" w:ascii="宋体" w:hAnsi="宋体" w:eastAsia="宋体" w:cs="宋体"/>
                <w:sz w:val="30"/>
                <w:szCs w:val="30"/>
              </w:rPr>
            </w:pPr>
            <w:r>
              <w:rPr>
                <w:rFonts w:hint="eastAsia" w:ascii="宋体" w:hAnsi="宋体" w:eastAsia="宋体" w:cs="宋体"/>
                <w:sz w:val="21"/>
                <w:szCs w:val="21"/>
              </w:rPr>
              <w:t>侧重幼儿园活动的设计指导与方案评析，以活动设计思想为主线，运用丰富的教学案例，通过形式多样的教学训练方式促进学生综合能力的形成。能将理论与实践相结合，提高设计和组织教育活动的基本技能；理解幼儿园活动设计的内涵，具备活动设计的理论功底和实际操作的能力。</w:t>
            </w:r>
          </w:p>
        </w:tc>
        <w:tc>
          <w:tcPr>
            <w:tcW w:w="761" w:type="dxa"/>
            <w:tcBorders>
              <w:top w:val="single" w:color="auto" w:sz="4"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98" w:type="dxa"/>
            <w:tcBorders>
              <w:top w:val="single" w:color="auto" w:sz="8" w:space="0"/>
              <w:left w:val="single" w:color="auto" w:sz="8" w:space="0"/>
              <w:bottom w:val="single" w:color="auto" w:sz="4" w:space="0"/>
              <w:right w:val="single" w:color="auto" w:sz="4"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10</w:t>
            </w:r>
          </w:p>
        </w:tc>
        <w:tc>
          <w:tcPr>
            <w:tcW w:w="2340" w:type="dxa"/>
            <w:tcBorders>
              <w:top w:val="single" w:color="auto" w:sz="8" w:space="0"/>
              <w:left w:val="single" w:color="auto" w:sz="4" w:space="0"/>
              <w:bottom w:val="single" w:color="auto" w:sz="4" w:space="0"/>
              <w:right w:val="single" w:color="auto" w:sz="4" w:space="0"/>
            </w:tcBorders>
            <w:vAlign w:val="center"/>
          </w:tcPr>
          <w:p>
            <w:pPr>
              <w:pStyle w:val="63"/>
              <w:spacing w:line="300" w:lineRule="atLeast"/>
              <w:rPr>
                <w:rFonts w:hint="eastAsia" w:ascii="宋体" w:hAnsi="宋体" w:eastAsia="宋体" w:cs="宋体"/>
                <w:sz w:val="21"/>
                <w:szCs w:val="21"/>
              </w:rPr>
            </w:pPr>
            <w:r>
              <w:rPr>
                <w:rFonts w:hint="eastAsia" w:ascii="宋体" w:hAnsi="宋体" w:eastAsia="宋体" w:cs="宋体"/>
                <w:sz w:val="21"/>
                <w:szCs w:val="21"/>
              </w:rPr>
              <w:t>婴幼儿行为观察与引导</w:t>
            </w:r>
          </w:p>
        </w:tc>
        <w:tc>
          <w:tcPr>
            <w:tcW w:w="6056" w:type="dxa"/>
            <w:tcBorders>
              <w:top w:val="single" w:color="auto" w:sz="8" w:space="0"/>
              <w:left w:val="single" w:color="auto" w:sz="4" w:space="0"/>
              <w:bottom w:val="single" w:color="auto" w:sz="4" w:space="0"/>
              <w:right w:val="single" w:color="auto" w:sz="4" w:space="0"/>
            </w:tcBorders>
          </w:tcPr>
          <w:p>
            <w:pPr>
              <w:pStyle w:val="63"/>
              <w:ind w:firstLine="210" w:firstLineChars="100"/>
              <w:rPr>
                <w:rFonts w:hint="eastAsia" w:ascii="宋体" w:hAnsi="宋体" w:eastAsia="宋体" w:cs="宋体"/>
                <w:sz w:val="21"/>
                <w:szCs w:val="21"/>
              </w:rPr>
            </w:pPr>
            <w:r>
              <w:rPr>
                <w:rFonts w:hint="eastAsia" w:ascii="宋体" w:hAnsi="宋体" w:eastAsia="宋体" w:cs="宋体"/>
                <w:sz w:val="21"/>
                <w:szCs w:val="21"/>
              </w:rPr>
              <w:t>学习观察记录的各个步骤和观察法，以及如何应用观察来对幼儿进行评估。为了让学生能熟知各种观察方法的优劣，课堂上将引入大量的案例并提供自我实践的机会，学生将以小组的形式完成观察记录作业。要求学生了解并掌握不同观察儿童行为的方法，并能在幼儿园见习的过程中利用所学的观察要点和技巧对幼儿进行目标清晰、方法适宜、计划周全的观察记录，形成观察报告。</w:t>
            </w:r>
          </w:p>
        </w:tc>
        <w:tc>
          <w:tcPr>
            <w:tcW w:w="761" w:type="dxa"/>
            <w:tcBorders>
              <w:top w:val="single" w:color="auto" w:sz="8" w:space="0"/>
              <w:left w:val="single" w:color="auto" w:sz="4" w:space="0"/>
              <w:bottom w:val="single" w:color="auto" w:sz="4" w:space="0"/>
              <w:right w:val="single" w:color="auto" w:sz="8" w:space="0"/>
            </w:tcBorders>
            <w:vAlign w:val="center"/>
          </w:tcPr>
          <w:p>
            <w:pPr>
              <w:pStyle w:val="63"/>
              <w:jc w:val="center"/>
              <w:rPr>
                <w:rFonts w:hint="eastAsia" w:ascii="宋体" w:hAnsi="宋体" w:eastAsia="宋体" w:cs="宋体"/>
                <w:sz w:val="21"/>
                <w:szCs w:val="21"/>
              </w:rPr>
            </w:pPr>
            <w:r>
              <w:rPr>
                <w:rFonts w:hint="eastAsia" w:ascii="宋体" w:hAnsi="宋体" w:eastAsia="宋体" w:cs="宋体"/>
                <w:sz w:val="21"/>
                <w:szCs w:val="21"/>
              </w:rPr>
              <w:t>40</w:t>
            </w:r>
          </w:p>
        </w:tc>
      </w:tr>
    </w:tbl>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公共基础课学时约占总学时的47%。专业课学时约占总学时的53%，在确保学生实习总量的前提下，根据实际需要集中或分阶段安排实习时间。</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2.教学进度计划安排表</w:t>
      </w:r>
    </w:p>
    <w:p>
      <w:pPr>
        <w:ind w:firstLine="0"/>
        <w:rPr>
          <w:rFonts w:ascii="楷体" w:hAnsi="楷体" w:eastAsia="楷体" w:cs="楷体"/>
          <w:sz w:val="30"/>
          <w:szCs w:val="30"/>
        </w:rPr>
      </w:pPr>
    </w:p>
    <w:p>
      <w:pPr>
        <w:ind w:firstLine="0"/>
        <w:rPr>
          <w:rFonts w:eastAsia="黑体"/>
          <w:sz w:val="30"/>
          <w:szCs w:val="30"/>
        </w:rPr>
      </w:pPr>
      <w:r>
        <w:rPr>
          <w:rFonts w:hint="eastAsia" w:ascii="楷体" w:hAnsi="楷体" w:eastAsia="楷体" w:cs="楷体"/>
          <w:sz w:val="30"/>
          <w:szCs w:val="30"/>
          <w:lang w:eastAsia="zh-CN"/>
        </w:rPr>
        <w:drawing>
          <wp:anchor distT="0" distB="0" distL="114300" distR="114300" simplePos="0" relativeHeight="251659264" behindDoc="1" locked="0" layoutInCell="1" allowOverlap="1">
            <wp:simplePos x="0" y="0"/>
            <wp:positionH relativeFrom="column">
              <wp:posOffset>-152400</wp:posOffset>
            </wp:positionH>
            <wp:positionV relativeFrom="paragraph">
              <wp:posOffset>-8203565</wp:posOffset>
            </wp:positionV>
            <wp:extent cx="6344285" cy="8414385"/>
            <wp:effectExtent l="0" t="0" r="18415" b="43815"/>
            <wp:wrapTight wrapText="bothSides">
              <wp:wrapPolygon>
                <wp:start x="0" y="0"/>
                <wp:lineTo x="0" y="21566"/>
                <wp:lineTo x="21533" y="21566"/>
                <wp:lineTo x="21533" y="0"/>
                <wp:lineTo x="0" y="0"/>
              </wp:wrapPolygon>
            </wp:wrapTight>
            <wp:docPr id="1" name="图片 1" descr="169292635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2926353871"/>
                    <pic:cNvPicPr>
                      <a:picLocks noChangeAspect="1"/>
                    </pic:cNvPicPr>
                  </pic:nvPicPr>
                  <pic:blipFill>
                    <a:blip r:embed="rId15"/>
                    <a:stretch>
                      <a:fillRect/>
                    </a:stretch>
                  </pic:blipFill>
                  <pic:spPr>
                    <a:xfrm>
                      <a:off x="0" y="0"/>
                      <a:ext cx="6344285" cy="8414385"/>
                    </a:xfrm>
                    <a:prstGeom prst="rect">
                      <a:avLst/>
                    </a:prstGeom>
                  </pic:spPr>
                </pic:pic>
              </a:graphicData>
            </a:graphic>
          </wp:anchor>
        </w:drawing>
      </w:r>
      <w:r>
        <w:rPr>
          <w:rFonts w:hint="eastAsia" w:ascii="楷体" w:hAnsi="楷体" w:eastAsia="楷体" w:cs="楷体"/>
          <w:sz w:val="30"/>
          <w:szCs w:val="30"/>
          <w:lang w:val="en-US" w:eastAsia="zh-CN"/>
        </w:rPr>
        <w:t xml:space="preserve">    </w:t>
      </w: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我校幼儿保育专业现有专业课教师25人，高级教师5名，骨干教师6人，双师型教师17名，专业带头人1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以每年招收5个班为基数，本专业的教师人数应不少于15人，其中专职教师应不少于10人，教师数与学生数之比应大于1:20，专职教师中具有中级以上职称教师人数不低于40%，高级职称人数不低于15%。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00" w:lineRule="exact"/>
        <w:ind w:left="585" w:leftChars="244" w:firstLine="0"/>
        <w:rPr>
          <w:rFonts w:ascii="宋体" w:hAnsi="宋体" w:cs="宋体"/>
          <w:sz w:val="28"/>
          <w:szCs w:val="28"/>
        </w:rPr>
      </w:pPr>
      <w:r>
        <w:rPr>
          <w:rFonts w:hint="eastAsia" w:ascii="仿宋" w:hAnsi="仿宋" w:eastAsia="仿宋" w:cs="仿宋"/>
          <w:sz w:val="30"/>
          <w:szCs w:val="30"/>
        </w:rPr>
        <w:t>根据课程实施需要，本专业配备校内实习实训室和校外实习实训基地。1.校内实训基地</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校内有理实一体练唱教室、形体训练实训室、电钢琴实训室等艺术技能专用教室与场所，已建成的保教实训室有幼儿保育实训室和幼儿保健实训室，实训场地总面积近1500平方米。已申报2023年-2025年规划建设专业实训室有幼儿心理辅导实训室、电钢琴实训室、幼儿手工实训室、幼儿美术实训室、幼儿益智游戏实训室等场所，实训室建设智能化教学支持环境，安装多媒体教学设备，对接真实职业场景或工作情境，在校内外进行幼儿生活照护、早期学习支持、安全健康照护、行为观察与引导等实训。</w:t>
      </w:r>
    </w:p>
    <w:p>
      <w:pPr>
        <w:spacing w:line="500" w:lineRule="exact"/>
        <w:ind w:firstLine="600" w:firstLineChars="200"/>
        <w:jc w:val="center"/>
        <w:rPr>
          <w:rFonts w:ascii="仿宋" w:hAnsi="仿宋" w:eastAsia="仿宋" w:cs="仿宋"/>
          <w:b/>
          <w:sz w:val="30"/>
          <w:szCs w:val="30"/>
        </w:rPr>
      </w:pPr>
      <w:r>
        <w:rPr>
          <w:rFonts w:hint="eastAsia" w:ascii="仿宋" w:hAnsi="仿宋" w:eastAsia="仿宋" w:cs="仿宋"/>
          <w:b/>
          <w:sz w:val="30"/>
          <w:szCs w:val="30"/>
        </w:rPr>
        <w:t>艺术技能实训室及排练厅设备一览表</w:t>
      </w:r>
    </w:p>
    <w:tbl>
      <w:tblPr>
        <w:tblStyle w:val="19"/>
        <w:tblW w:w="9479" w:type="dxa"/>
        <w:jc w:val="center"/>
        <w:tblLayout w:type="fixed"/>
        <w:tblCellMar>
          <w:top w:w="0" w:type="dxa"/>
          <w:left w:w="108" w:type="dxa"/>
          <w:bottom w:w="0" w:type="dxa"/>
          <w:right w:w="108" w:type="dxa"/>
        </w:tblCellMar>
      </w:tblPr>
      <w:tblGrid>
        <w:gridCol w:w="993"/>
        <w:gridCol w:w="3377"/>
        <w:gridCol w:w="2176"/>
        <w:gridCol w:w="2933"/>
      </w:tblGrid>
      <w:tr>
        <w:tblPrEx>
          <w:tblCellMar>
            <w:top w:w="0" w:type="dxa"/>
            <w:left w:w="108" w:type="dxa"/>
            <w:bottom w:w="0" w:type="dxa"/>
            <w:right w:w="108" w:type="dxa"/>
          </w:tblCellMar>
        </w:tblPrEx>
        <w:trPr>
          <w:trHeight w:val="598"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ascii="黑体" w:hAnsi="黑体" w:eastAsia="黑体"/>
                <w:kern w:val="0"/>
                <w:position w:val="10"/>
                <w:szCs w:val="24"/>
              </w:rPr>
              <w:t>序号</w:t>
            </w:r>
          </w:p>
        </w:tc>
        <w:tc>
          <w:tcPr>
            <w:tcW w:w="3377"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实训室名称</w:t>
            </w: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主要设施设备</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ascii="黑体" w:hAnsi="黑体" w:eastAsia="黑体"/>
                <w:kern w:val="0"/>
                <w:position w:val="10"/>
                <w:szCs w:val="24"/>
              </w:rPr>
            </w:pPr>
            <w:r>
              <w:rPr>
                <w:rFonts w:hint="eastAsia" w:ascii="黑体" w:hAnsi="黑体" w:eastAsia="黑体"/>
                <w:kern w:val="0"/>
                <w:position w:val="10"/>
                <w:szCs w:val="24"/>
              </w:rPr>
              <w:t>数量</w:t>
            </w:r>
          </w:p>
        </w:tc>
      </w:tr>
      <w:tr>
        <w:tblPrEx>
          <w:tblCellMar>
            <w:top w:w="0" w:type="dxa"/>
            <w:left w:w="108" w:type="dxa"/>
            <w:bottom w:w="0" w:type="dxa"/>
            <w:right w:w="108" w:type="dxa"/>
          </w:tblCellMar>
        </w:tblPrEx>
        <w:trPr>
          <w:trHeight w:val="324"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1</w:t>
            </w:r>
          </w:p>
        </w:tc>
        <w:tc>
          <w:tcPr>
            <w:tcW w:w="3377" w:type="dxa"/>
            <w:vMerge w:val="restart"/>
            <w:tcBorders>
              <w:top w:val="nil"/>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形体训练实训室（一）</w:t>
            </w:r>
          </w:p>
        </w:tc>
        <w:tc>
          <w:tcPr>
            <w:tcW w:w="2176" w:type="dxa"/>
            <w:tcBorders>
              <w:top w:val="nil"/>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镜子</w:t>
            </w:r>
          </w:p>
        </w:tc>
        <w:tc>
          <w:tcPr>
            <w:tcW w:w="2933" w:type="dxa"/>
            <w:tcBorders>
              <w:top w:val="nil"/>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25平方米</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把杆</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45米</w:t>
            </w:r>
          </w:p>
        </w:tc>
      </w:tr>
      <w:tr>
        <w:tblPrEx>
          <w:tblCellMar>
            <w:top w:w="0" w:type="dxa"/>
            <w:left w:w="108" w:type="dxa"/>
            <w:bottom w:w="0" w:type="dxa"/>
            <w:right w:w="108" w:type="dxa"/>
          </w:tblCellMar>
        </w:tblPrEx>
        <w:trPr>
          <w:trHeight w:val="39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储物柜</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1组</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324" w:hRule="atLeast"/>
          <w:jc w:val="center"/>
        </w:trPr>
        <w:tc>
          <w:tcPr>
            <w:tcW w:w="993" w:type="dxa"/>
            <w:vMerge w:val="restart"/>
            <w:tcBorders>
              <w:top w:val="single" w:color="auto" w:sz="4" w:space="0"/>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2</w:t>
            </w:r>
          </w:p>
        </w:tc>
        <w:tc>
          <w:tcPr>
            <w:tcW w:w="3377" w:type="dxa"/>
            <w:vMerge w:val="restart"/>
            <w:tcBorders>
              <w:top w:val="single" w:color="auto" w:sz="4" w:space="0"/>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形体训练实训室（二）</w:t>
            </w: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镜子</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25平方米</w:t>
            </w:r>
          </w:p>
        </w:tc>
      </w:tr>
      <w:tr>
        <w:tblPrEx>
          <w:tblCellMar>
            <w:top w:w="0" w:type="dxa"/>
            <w:left w:w="108" w:type="dxa"/>
            <w:bottom w:w="0" w:type="dxa"/>
            <w:right w:w="108" w:type="dxa"/>
          </w:tblCellMar>
        </w:tblPrEx>
        <w:trPr>
          <w:trHeight w:val="367"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把杆</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40米</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鞋架</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2个</w:t>
            </w:r>
          </w:p>
        </w:tc>
      </w:tr>
      <w:tr>
        <w:tblPrEx>
          <w:tblCellMar>
            <w:top w:w="0" w:type="dxa"/>
            <w:left w:w="108" w:type="dxa"/>
            <w:bottom w:w="0" w:type="dxa"/>
            <w:right w:w="108" w:type="dxa"/>
          </w:tblCellMar>
        </w:tblPrEx>
        <w:trPr>
          <w:trHeight w:val="324"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tabs>
                <w:tab w:val="left" w:pos="426"/>
                <w:tab w:val="left" w:pos="709"/>
              </w:tabs>
              <w:spacing w:line="320" w:lineRule="atLeas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3</w:t>
            </w:r>
          </w:p>
        </w:tc>
        <w:tc>
          <w:tcPr>
            <w:tcW w:w="3377" w:type="dxa"/>
            <w:vMerge w:val="restart"/>
            <w:tcBorders>
              <w:top w:val="nil"/>
              <w:left w:val="nil"/>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多功能排练厅</w:t>
            </w:r>
          </w:p>
        </w:tc>
        <w:tc>
          <w:tcPr>
            <w:tcW w:w="2176"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钢琴</w:t>
            </w:r>
          </w:p>
        </w:tc>
        <w:tc>
          <w:tcPr>
            <w:tcW w:w="2933"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多媒体</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1套</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restart"/>
            <w:tcBorders>
              <w:top w:val="nil"/>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4</w:t>
            </w:r>
          </w:p>
        </w:tc>
        <w:tc>
          <w:tcPr>
            <w:tcW w:w="3377" w:type="dxa"/>
            <w:vMerge w:val="restart"/>
            <w:tcBorders>
              <w:top w:val="nil"/>
              <w:left w:val="nil"/>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钢琴实训室</w:t>
            </w:r>
          </w:p>
        </w:tc>
        <w:tc>
          <w:tcPr>
            <w:tcW w:w="2176"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学生用琴</w:t>
            </w:r>
          </w:p>
        </w:tc>
        <w:tc>
          <w:tcPr>
            <w:tcW w:w="2933" w:type="dxa"/>
            <w:tcBorders>
              <w:top w:val="nil"/>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10台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教师用琴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3台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bottom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2台</w:t>
            </w:r>
          </w:p>
        </w:tc>
      </w:tr>
      <w:tr>
        <w:tblPrEx>
          <w:tblCellMar>
            <w:top w:w="0" w:type="dxa"/>
            <w:left w:w="108" w:type="dxa"/>
            <w:bottom w:w="0" w:type="dxa"/>
            <w:right w:w="108" w:type="dxa"/>
          </w:tblCellMar>
        </w:tblPrEx>
        <w:trPr>
          <w:trHeight w:val="402" w:hRule="atLeast"/>
          <w:jc w:val="center"/>
        </w:trPr>
        <w:tc>
          <w:tcPr>
            <w:tcW w:w="993" w:type="dxa"/>
            <w:vMerge w:val="restart"/>
            <w:tcBorders>
              <w:top w:val="single" w:color="auto" w:sz="4" w:space="0"/>
              <w:left w:val="single" w:color="auto" w:sz="4" w:space="0"/>
              <w:right w:val="single" w:color="auto" w:sz="4" w:space="0"/>
            </w:tcBorders>
            <w:vAlign w:val="center"/>
          </w:tcPr>
          <w:p>
            <w:pPr>
              <w:tabs>
                <w:tab w:val="left" w:pos="426"/>
                <w:tab w:val="left" w:pos="709"/>
              </w:tabs>
              <w:spacing w:line="320" w:lineRule="atLeast"/>
              <w:ind w:firstLine="0"/>
              <w:jc w:val="center"/>
              <w:rPr>
                <w:kern w:val="0"/>
                <w:position w:val="10"/>
                <w:sz w:val="21"/>
              </w:rPr>
            </w:pPr>
            <w:r>
              <w:rPr>
                <w:rFonts w:hint="eastAsia"/>
                <w:kern w:val="0"/>
                <w:position w:val="10"/>
                <w:sz w:val="21"/>
              </w:rPr>
              <w:t>5</w:t>
            </w:r>
          </w:p>
        </w:tc>
        <w:tc>
          <w:tcPr>
            <w:tcW w:w="3377" w:type="dxa"/>
            <w:vMerge w:val="restart"/>
            <w:tcBorders>
              <w:top w:val="single" w:color="auto" w:sz="4" w:space="0"/>
              <w:left w:val="nil"/>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电钢琴实训室</w:t>
            </w: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学生用琴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52台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教师用琴</w:t>
            </w:r>
          </w:p>
        </w:tc>
        <w:tc>
          <w:tcPr>
            <w:tcW w:w="2933" w:type="dxa"/>
            <w:tcBorders>
              <w:top w:val="single" w:color="auto" w:sz="4" w:space="0"/>
              <w:left w:val="nil"/>
              <w:bottom w:val="single" w:color="auto" w:sz="4" w:space="0"/>
              <w:right w:val="single" w:color="auto" w:sz="4" w:space="0"/>
            </w:tcBorders>
            <w:vAlign w:val="center"/>
          </w:tcPr>
          <w:p>
            <w:pPr>
              <w:widowControl/>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02" w:hRule="atLeast"/>
          <w:jc w:val="center"/>
        </w:trPr>
        <w:tc>
          <w:tcPr>
            <w:tcW w:w="993" w:type="dxa"/>
            <w:vMerge w:val="continue"/>
            <w:tcBorders>
              <w:left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电脑</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r>
        <w:tblPrEx>
          <w:tblCellMar>
            <w:top w:w="0" w:type="dxa"/>
            <w:left w:w="108" w:type="dxa"/>
            <w:bottom w:w="0" w:type="dxa"/>
            <w:right w:w="108" w:type="dxa"/>
          </w:tblCellMar>
        </w:tblPrEx>
        <w:trPr>
          <w:trHeight w:val="412" w:hRule="atLeast"/>
          <w:jc w:val="center"/>
        </w:trPr>
        <w:tc>
          <w:tcPr>
            <w:tcW w:w="993" w:type="dxa"/>
            <w:vMerge w:val="continue"/>
            <w:tcBorders>
              <w:left w:val="single" w:color="auto" w:sz="4" w:space="0"/>
              <w:bottom w:val="single" w:color="auto" w:sz="4" w:space="0"/>
              <w:right w:val="single" w:color="auto" w:sz="4" w:space="0"/>
            </w:tcBorders>
            <w:vAlign w:val="center"/>
          </w:tcPr>
          <w:p>
            <w:pPr>
              <w:spacing w:line="320" w:lineRule="exact"/>
              <w:jc w:val="center"/>
              <w:rPr>
                <w:rFonts w:ascii="仿宋" w:hAnsi="仿宋" w:eastAsia="仿宋" w:cs="宋体"/>
                <w:kern w:val="0"/>
                <w:szCs w:val="24"/>
              </w:rPr>
            </w:pPr>
          </w:p>
        </w:tc>
        <w:tc>
          <w:tcPr>
            <w:tcW w:w="3377" w:type="dxa"/>
            <w:vMerge w:val="continue"/>
            <w:tcBorders>
              <w:left w:val="nil"/>
              <w:bottom w:val="single" w:color="auto" w:sz="4" w:space="0"/>
              <w:right w:val="single" w:color="auto" w:sz="4" w:space="0"/>
            </w:tcBorders>
            <w:vAlign w:val="center"/>
          </w:tcPr>
          <w:p>
            <w:pPr>
              <w:widowControl/>
              <w:spacing w:line="400" w:lineRule="exact"/>
              <w:ind w:firstLine="0"/>
              <w:rPr>
                <w:rFonts w:cs="宋体"/>
                <w:position w:val="10"/>
                <w:sz w:val="21"/>
              </w:rPr>
            </w:pPr>
          </w:p>
        </w:tc>
        <w:tc>
          <w:tcPr>
            <w:tcW w:w="2176"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空调</w:t>
            </w:r>
          </w:p>
        </w:tc>
        <w:tc>
          <w:tcPr>
            <w:tcW w:w="2933" w:type="dxa"/>
            <w:tcBorders>
              <w:top w:val="single" w:color="auto" w:sz="4" w:space="0"/>
              <w:left w:val="nil"/>
              <w:bottom w:val="single" w:color="auto" w:sz="4" w:space="0"/>
              <w:right w:val="single" w:color="auto" w:sz="4" w:space="0"/>
            </w:tcBorders>
            <w:vAlign w:val="center"/>
          </w:tcPr>
          <w:p>
            <w:pPr>
              <w:spacing w:line="400" w:lineRule="exact"/>
              <w:ind w:firstLine="0"/>
              <w:jc w:val="center"/>
              <w:rPr>
                <w:rFonts w:cs="宋体"/>
                <w:position w:val="10"/>
                <w:sz w:val="21"/>
              </w:rPr>
            </w:pPr>
            <w:r>
              <w:rPr>
                <w:rFonts w:hint="eastAsia" w:cs="宋体"/>
                <w:position w:val="10"/>
                <w:sz w:val="21"/>
              </w:rPr>
              <w:t>1台</w:t>
            </w:r>
          </w:p>
        </w:tc>
      </w:tr>
    </w:tbl>
    <w:p>
      <w:pPr>
        <w:spacing w:line="560" w:lineRule="exact"/>
        <w:ind w:firstLine="0"/>
        <w:jc w:val="center"/>
        <w:rPr>
          <w:rFonts w:ascii="仿宋" w:hAnsi="仿宋" w:eastAsia="仿宋" w:cs="仿宋"/>
          <w:b/>
          <w:sz w:val="30"/>
          <w:szCs w:val="30"/>
        </w:rPr>
      </w:pPr>
      <w:r>
        <w:rPr>
          <w:rFonts w:hint="eastAsia" w:ascii="仿宋" w:hAnsi="仿宋" w:eastAsia="仿宋" w:cs="仿宋"/>
          <w:b/>
          <w:sz w:val="30"/>
          <w:szCs w:val="30"/>
        </w:rPr>
        <w:t>幼儿保育实训室仪器设备一览表</w:t>
      </w:r>
    </w:p>
    <w:tbl>
      <w:tblPr>
        <w:tblStyle w:val="19"/>
        <w:tblW w:w="9493" w:type="dxa"/>
        <w:tblInd w:w="113" w:type="dxa"/>
        <w:tblLayout w:type="autofit"/>
        <w:tblCellMar>
          <w:top w:w="0" w:type="dxa"/>
          <w:left w:w="108" w:type="dxa"/>
          <w:bottom w:w="0" w:type="dxa"/>
          <w:right w:w="108" w:type="dxa"/>
        </w:tblCellMar>
      </w:tblPr>
      <w:tblGrid>
        <w:gridCol w:w="1420"/>
        <w:gridCol w:w="2828"/>
        <w:gridCol w:w="2268"/>
        <w:gridCol w:w="2977"/>
      </w:tblGrid>
      <w:tr>
        <w:tblPrEx>
          <w:tblCellMar>
            <w:top w:w="0" w:type="dxa"/>
            <w:left w:w="108" w:type="dxa"/>
            <w:bottom w:w="0" w:type="dxa"/>
            <w:right w:w="108" w:type="dxa"/>
          </w:tblCellMar>
        </w:tblPrEx>
        <w:trPr>
          <w:trHeight w:val="402" w:hRule="atLeast"/>
        </w:trPr>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序号</w:t>
            </w:r>
          </w:p>
        </w:tc>
        <w:tc>
          <w:tcPr>
            <w:tcW w:w="2828"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设备仪器名称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设备仪器型号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数量</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多媒体讲桌</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嘉宏</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机柜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华兴</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会议线性音柱</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纳维奇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4</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专业功放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纳维奇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8路调音台</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纳维奇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触控一体机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海康威视</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定制收纳组合柜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8</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小组互动实木桌椅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9</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儿童床</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餐具包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皇宠</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儿童意外伤害挂图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婴幼儿身高体重磅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苏宏</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保育员实训资料</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卫生保健档案</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国标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美工区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康轩</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阅读区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康轩</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科学区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康轩</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18</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体验套装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VRTYJ 2.0</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15"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19</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虚拟教学软件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Calibri" w:hAnsi="Calibri" w:cs="Calibri"/>
                <w:snapToGrid/>
                <w:color w:val="000000"/>
                <w:kern w:val="0"/>
                <w:sz w:val="21"/>
              </w:rPr>
            </w:pPr>
            <w:r>
              <w:rPr>
                <w:rFonts w:ascii="Calibri" w:hAnsi="Calibri" w:cs="Calibri"/>
                <w:snapToGrid/>
                <w:color w:val="000000"/>
                <w:kern w:val="0"/>
                <w:sz w:val="21"/>
              </w:rPr>
              <w:t>LJC</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20</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智慧黑板</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医用急救箱</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污物桶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茶桶茶杯柜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毛巾架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方巾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30</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内堆叠儿童床（120)</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3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实木柜</w:t>
            </w:r>
          </w:p>
        </w:tc>
        <w:tc>
          <w:tcPr>
            <w:tcW w:w="226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bl>
    <w:p>
      <w:pPr>
        <w:spacing w:line="560" w:lineRule="exact"/>
        <w:ind w:firstLine="0"/>
        <w:jc w:val="center"/>
        <w:rPr>
          <w:rFonts w:ascii="仿宋" w:hAnsi="仿宋" w:eastAsia="仿宋" w:cs="仿宋"/>
          <w:sz w:val="30"/>
          <w:szCs w:val="30"/>
        </w:rPr>
      </w:pPr>
      <w:r>
        <w:rPr>
          <w:rFonts w:hint="eastAsia" w:ascii="仿宋" w:hAnsi="仿宋" w:eastAsia="仿宋" w:cs="仿宋"/>
          <w:b/>
          <w:sz w:val="30"/>
          <w:szCs w:val="30"/>
        </w:rPr>
        <w:t>幼儿保健实训室仪器设备一览表</w:t>
      </w:r>
    </w:p>
    <w:tbl>
      <w:tblPr>
        <w:tblStyle w:val="19"/>
        <w:tblW w:w="9493" w:type="dxa"/>
        <w:tblInd w:w="113" w:type="dxa"/>
        <w:tblLayout w:type="autofit"/>
        <w:tblCellMar>
          <w:top w:w="0" w:type="dxa"/>
          <w:left w:w="108" w:type="dxa"/>
          <w:bottom w:w="0" w:type="dxa"/>
          <w:right w:w="108" w:type="dxa"/>
        </w:tblCellMar>
      </w:tblPr>
      <w:tblGrid>
        <w:gridCol w:w="1420"/>
        <w:gridCol w:w="2828"/>
        <w:gridCol w:w="2268"/>
        <w:gridCol w:w="2977"/>
      </w:tblGrid>
      <w:tr>
        <w:tblPrEx>
          <w:tblCellMar>
            <w:top w:w="0" w:type="dxa"/>
            <w:left w:w="108" w:type="dxa"/>
            <w:bottom w:w="0" w:type="dxa"/>
            <w:right w:w="108" w:type="dxa"/>
          </w:tblCellMar>
        </w:tblPrEx>
        <w:trPr>
          <w:trHeight w:val="402" w:hRule="atLeast"/>
        </w:trPr>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序号</w:t>
            </w:r>
          </w:p>
        </w:tc>
        <w:tc>
          <w:tcPr>
            <w:tcW w:w="2828"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设备仪器名称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设备仪器型号</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tabs>
                <w:tab w:val="left" w:pos="426"/>
                <w:tab w:val="left" w:pos="709"/>
              </w:tabs>
              <w:spacing w:line="320" w:lineRule="atLeast"/>
              <w:ind w:firstLine="0"/>
              <w:jc w:val="center"/>
              <w:rPr>
                <w:rFonts w:hint="eastAsia" w:ascii="黑体" w:hAnsi="黑体" w:eastAsia="黑体" w:cs="Times New Roman"/>
                <w:kern w:val="0"/>
                <w:position w:val="10"/>
                <w:szCs w:val="24"/>
              </w:rPr>
            </w:pPr>
            <w:r>
              <w:rPr>
                <w:rFonts w:hint="eastAsia" w:ascii="黑体" w:hAnsi="黑体" w:eastAsia="黑体" w:cs="Times New Roman"/>
                <w:kern w:val="0"/>
                <w:position w:val="10"/>
                <w:szCs w:val="24"/>
              </w:rPr>
              <w:t>数量</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抚触台</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婴幼儿智能模型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消毒用品</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3</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消毒柜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ZTD</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留样柜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启盟商厨</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盥洗套装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利君成</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7</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儿童水疗机</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伊亲</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8</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人体躯干解剖模型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9</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人体骨骼模型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10</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胃模型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11</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牙齿模型</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蓝蝶</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2</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12</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智能心肺复苏模具</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冠邦</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6</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13</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根据学校需求定制</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国标</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14</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学习折叠椅</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60</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15</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实木组合柜</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18"/>
                <w:szCs w:val="18"/>
              </w:rPr>
            </w:pPr>
            <w:r>
              <w:rPr>
                <w:rFonts w:hint="eastAsia" w:ascii="宋体" w:hAnsi="宋体" w:cs="宋体"/>
                <w:snapToGrid/>
                <w:color w:val="000000"/>
                <w:kern w:val="0"/>
                <w:sz w:val="18"/>
                <w:szCs w:val="18"/>
              </w:rPr>
              <w:t>3</w:t>
            </w:r>
          </w:p>
        </w:tc>
      </w:tr>
      <w:tr>
        <w:tblPrEx>
          <w:tblCellMar>
            <w:top w:w="0" w:type="dxa"/>
            <w:left w:w="108" w:type="dxa"/>
            <w:bottom w:w="0" w:type="dxa"/>
            <w:right w:w="108" w:type="dxa"/>
          </w:tblCellMar>
        </w:tblPrEx>
        <w:trPr>
          <w:trHeight w:val="40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16</w:t>
            </w:r>
          </w:p>
        </w:tc>
        <w:tc>
          <w:tcPr>
            <w:tcW w:w="282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0"/>
                <w:szCs w:val="20"/>
              </w:rPr>
            </w:pPr>
            <w:r>
              <w:rPr>
                <w:rFonts w:hint="eastAsia" w:ascii="宋体" w:hAnsi="宋体" w:cs="宋体"/>
                <w:snapToGrid/>
                <w:color w:val="000000"/>
                <w:kern w:val="0"/>
                <w:sz w:val="20"/>
                <w:szCs w:val="20"/>
              </w:rPr>
              <w:t>人体解剖挂图</w:t>
            </w:r>
          </w:p>
        </w:tc>
        <w:tc>
          <w:tcPr>
            <w:tcW w:w="226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1"/>
              </w:rPr>
            </w:pPr>
            <w:r>
              <w:rPr>
                <w:rFonts w:hint="eastAsia" w:ascii="宋体" w:hAnsi="宋体" w:cs="宋体"/>
                <w:snapToGrid/>
                <w:color w:val="000000"/>
                <w:kern w:val="0"/>
                <w:sz w:val="21"/>
              </w:rPr>
              <w:t>　</w:t>
            </w:r>
          </w:p>
        </w:tc>
        <w:tc>
          <w:tcPr>
            <w:tcW w:w="2977"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color w:val="000000"/>
                <w:kern w:val="0"/>
                <w:sz w:val="20"/>
                <w:szCs w:val="20"/>
              </w:rPr>
            </w:pPr>
            <w:r>
              <w:rPr>
                <w:rFonts w:hint="eastAsia" w:ascii="宋体" w:hAnsi="宋体" w:cs="宋体"/>
                <w:snapToGrid/>
                <w:color w:val="000000"/>
                <w:kern w:val="0"/>
                <w:sz w:val="20"/>
                <w:szCs w:val="20"/>
              </w:rPr>
              <w:t>1</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480" w:lineRule="exact"/>
        <w:ind w:firstLine="600" w:firstLineChars="200"/>
        <w:rPr>
          <w:snapToGrid/>
          <w:sz w:val="28"/>
          <w:szCs w:val="28"/>
        </w:rPr>
      </w:pPr>
      <w:r>
        <w:rPr>
          <w:rFonts w:hint="eastAsia" w:ascii="仿宋" w:hAnsi="仿宋" w:eastAsia="仿宋" w:cs="仿宋"/>
          <w:sz w:val="30"/>
          <w:szCs w:val="30"/>
        </w:rPr>
        <w:t>专业课教材建议选用中等职业学校国家规划教材或幼儿保育专业“岗课赛证融合”创新系列教材，有可供学生自主学习的精品课程和网络课程，包括教学大纲、考试大纲、实训考核标准、电子教案、多媒体课件、习题库、网上测试或试题库、实训项目、参考书目等。</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按照“教、学、做合一”的总体原则,根据课程性质,采用班级授课、分组教学、现场教学、实践训练、开展讨论与讲座等形式组织教学；不断进行“三教”改革，采用项目教学、案例教学、任务驱动教学、角色扮演情境教学、信息化教学等方法将学校课堂与行业大课堂结合；不断创新教学手段,利用专业教师的教学博客（网课教学资源）及学生个人空间,建立课程交流讨论群；另外还可利用教学团队的微信群、班级微信群、精品课程网站等网络空间,聚集教学资源,建立交流平台,实现在线教学及实时互动，促进学生自主学习、自主探索, 形成创新课堂教学模式。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即教师评价、学生相互评价与自我评价相结合，不仅仅关注学生的学习结果，更关注学生内在的学习品质；有条件可以聘请行业专家参与评价，专业课程的考核评价尽量减少理论考试方式，而以实操考核、项目考核和过程考核为主；学习过程性评价与终结性评价相结合，坚持定量评价和定性评价相结合，应知评价和应会评价相结合的原则；评价内容应涵盖情感态度、岗位能力、职业行为、知识点的掌握、技能的熟练程度、完成任务的质量等。不仅关注学生对知识的理解和基本技能的掌握，更关注知识和基本技能在实践中运用与解决实际问题的能力水平，重视规范操作、安全文明生产等职业素质的形成，树立正确的职业观与儿童观，关爱儿童，促进学前儿童身心健康发展。</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1.毕业生质量标准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行为习惯方面：有良好的行为习惯，基本符合学校的“三规范”（规范语言、规范行为、规范形象）、“四规定”（在规定的时间、规定的地点做好规范的事情）、“五学会”（学会微笑、学会让道、学会打招呼、学会讲卫生、学会爱护公物）、“六 S”（安全、整理、整顿、清扫、清洁、素养）。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2.学业成绩方面</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所有公共基础课参加考试考核，成绩合格，体育考核成绩达标。专业课程60分达标，技能考核60分达标。学校建立专业建设监控与评估制度，实施行业企业专家和学校教学专家进行专业评价，对专业建设进行动态管理，开展专业建设年度检查制度，定期检查各专业建设的年度进展情况，形成教学质量监控的组织体系、制度体系和运行体系。</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3.教学监督</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专业部通过教学监督、听课制度、学生评价等多种手段进行教学质量监控。专业部每学期都会安排相互听课及公开课活动。通过这种方式，能够促使老师相互学习优秀的教学方法、教学手段，促进大家在丰富教学手段、提高教学质量中实现共同提高。其次是教学检查方面。每个学期，专业部都会根据学校的统一安排开展教学检查。在教学检查过程中，督促各位任课老师认真备课，及时准备课程材料，包括课程大纲、授课计划、教案、PPT，对任课老师的授课质量进行过程性监督。专业部会定期组织学生代表，参与到学生对任课老师、对专业建设的评价中来。通过听取学生的意见建议，使得每个专业、每位教师对自己的专业建设情况、教师的授课情况及学生对专业的认知情况有了更加深入的理解，促进每个专业的自我反思、自我提升。此外，专业部还成立教学督导小组，督导专业建设与课程建设等。</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通过三年的学习，修满本专业人才培养方案所规定全部课程的学时且成绩合格，顶岗实习和社会实践考核合格，完成规定的教学活动，毕业时达到要求的综合素质、专业知识和能力水平，符合国家、省教育行政部门中等职业学校学生学籍管理的有关规定，思想品德评价合格,身心健康，且符合学校的有关毕业要求方可毕业。</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（一）素质要求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具有良好的职业道德、行为规范、社会责任感和担当精神</w:t>
      </w:r>
      <w:r>
        <w:rPr>
          <w:rFonts w:hint="eastAsia" w:ascii="仿宋" w:hAnsi="仿宋" w:eastAsia="仿宋" w:cs="仿宋"/>
          <w:sz w:val="30"/>
          <w:szCs w:val="30"/>
        </w:rPr>
        <w:t>。</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2.掌握科学锻炼身体的方法技能，养成良好的体育锻炼和卫生习惯，具备健全的心理和健康的体魄，树立爱岗敬业的劳动意识，热爱教育事业。</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3.具备正确的儿童观，用发展的眼光教育儿童。</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（二）知识要求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1.掌握从事幼儿保育工作的基本理论和基础知识。</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2.掌握婴幼儿保育工作的相关实操技能，熟悉工作流程。</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（三）能力要求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1.具有</w:t>
      </w:r>
      <w:r>
        <w:rPr>
          <w:rFonts w:ascii="仿宋" w:hAnsi="仿宋" w:eastAsia="仿宋" w:cs="仿宋"/>
          <w:sz w:val="30"/>
          <w:szCs w:val="30"/>
        </w:rPr>
        <w:t>将德育贯穿于幼儿一日生活的能力</w:t>
      </w:r>
      <w:r>
        <w:rPr>
          <w:rFonts w:hint="eastAsia" w:ascii="仿宋" w:hAnsi="仿宋" w:eastAsia="仿宋" w:cs="仿宋"/>
          <w:sz w:val="30"/>
          <w:szCs w:val="30"/>
        </w:rPr>
        <w:t>。</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2.具有</w:t>
      </w:r>
      <w:r>
        <w:rPr>
          <w:rFonts w:ascii="仿宋" w:hAnsi="仿宋" w:eastAsia="仿宋" w:cs="仿宋"/>
          <w:sz w:val="30"/>
          <w:szCs w:val="30"/>
        </w:rPr>
        <w:t>创设幼儿生活环境和支持性学习环境的能力</w:t>
      </w:r>
      <w:r>
        <w:rPr>
          <w:rFonts w:hint="eastAsia" w:ascii="仿宋" w:hAnsi="仿宋" w:eastAsia="仿宋" w:cs="仿宋"/>
          <w:sz w:val="30"/>
          <w:szCs w:val="30"/>
        </w:rPr>
        <w:t>。</w:t>
      </w:r>
      <w:r>
        <w:rPr>
          <w:rFonts w:ascii="仿宋" w:hAnsi="仿宋" w:eastAsia="仿宋" w:cs="仿宋"/>
          <w:sz w:val="30"/>
          <w:szCs w:val="30"/>
        </w:rPr>
        <w:t xml:space="preserve"> </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具有开展幼儿照护的能力</w:t>
      </w:r>
      <w:r>
        <w:rPr>
          <w:rFonts w:hint="eastAsia" w:ascii="仿宋" w:hAnsi="仿宋" w:eastAsia="仿宋" w:cs="仿宋"/>
          <w:sz w:val="30"/>
          <w:szCs w:val="30"/>
        </w:rPr>
        <w:t>。</w:t>
      </w:r>
      <w:r>
        <w:rPr>
          <w:rFonts w:ascii="仿宋" w:hAnsi="仿宋" w:eastAsia="仿宋" w:cs="仿宋"/>
          <w:sz w:val="30"/>
          <w:szCs w:val="30"/>
        </w:rPr>
        <w:t xml:space="preserve"> </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具有观察、分析幼儿发展状况的能力</w:t>
      </w:r>
      <w:r>
        <w:rPr>
          <w:rFonts w:hint="eastAsia" w:ascii="仿宋" w:hAnsi="仿宋" w:eastAsia="仿宋" w:cs="仿宋"/>
          <w:sz w:val="30"/>
          <w:szCs w:val="30"/>
        </w:rPr>
        <w:t>和</w:t>
      </w:r>
      <w:r>
        <w:rPr>
          <w:rFonts w:ascii="仿宋" w:hAnsi="仿宋" w:eastAsia="仿宋" w:cs="仿宋"/>
          <w:sz w:val="30"/>
          <w:szCs w:val="30"/>
        </w:rPr>
        <w:t>家园社合作共育能力</w:t>
      </w:r>
      <w:r>
        <w:rPr>
          <w:rFonts w:hint="eastAsia" w:ascii="仿宋" w:hAnsi="仿宋" w:eastAsia="仿宋" w:cs="仿宋"/>
          <w:sz w:val="30"/>
          <w:szCs w:val="30"/>
        </w:rPr>
        <w:t>。</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5.</w:t>
      </w:r>
      <w:r>
        <w:rPr>
          <w:rFonts w:ascii="仿宋" w:hAnsi="仿宋" w:eastAsia="仿宋" w:cs="仿宋"/>
          <w:sz w:val="30"/>
          <w:szCs w:val="30"/>
        </w:rPr>
        <w:t>具有终身学习和可持续发展的能力。</w:t>
      </w:r>
    </w:p>
    <w:p>
      <w:pPr>
        <w:overflowPunct w:val="0"/>
        <w:ind w:firstLine="600" w:firstLineChars="200"/>
        <w:rPr>
          <w:rFonts w:ascii="黑体" w:hAnsi="黑体" w:eastAsia="黑体"/>
          <w:sz w:val="30"/>
          <w:szCs w:val="30"/>
        </w:rPr>
      </w:pPr>
      <w:r>
        <w:rPr>
          <w:rFonts w:ascii="黑体" w:hAnsi="黑体" w:eastAsia="黑体"/>
          <w:sz w:val="30"/>
          <w:szCs w:val="30"/>
        </w:rPr>
        <w:t>十、接续专业</w:t>
      </w:r>
    </w:p>
    <w:p>
      <w:pPr>
        <w:spacing w:line="500" w:lineRule="exact"/>
        <w:ind w:firstLine="600" w:firstLineChars="200"/>
        <w:rPr>
          <w:rFonts w:ascii="仿宋" w:hAnsi="仿宋" w:eastAsia="仿宋" w:cs="仿宋"/>
          <w:sz w:val="30"/>
          <w:szCs w:val="30"/>
        </w:rPr>
      </w:pPr>
      <w:r>
        <w:rPr>
          <w:rFonts w:ascii="仿宋" w:hAnsi="仿宋" w:eastAsia="仿宋" w:cs="仿宋"/>
          <w:sz w:val="30"/>
          <w:szCs w:val="30"/>
        </w:rPr>
        <w:t>接续高职专科专业： 学前教育、早期教育、婴幼儿托育服务与管理</w:t>
      </w:r>
    </w:p>
    <w:p>
      <w:pPr>
        <w:spacing w:line="500" w:lineRule="exact"/>
        <w:ind w:firstLine="600" w:firstLineChars="200"/>
        <w:rPr>
          <w:rFonts w:ascii="仿宋" w:hAnsi="仿宋" w:eastAsia="仿宋" w:cs="仿宋"/>
          <w:sz w:val="30"/>
          <w:szCs w:val="30"/>
        </w:rPr>
      </w:pPr>
      <w:r>
        <w:rPr>
          <w:rFonts w:ascii="仿宋" w:hAnsi="仿宋" w:eastAsia="仿宋" w:cs="仿宋"/>
          <w:sz w:val="30"/>
          <w:szCs w:val="30"/>
        </w:rPr>
        <w:t>接续高职本科专业： 学前教育、婴幼儿发展与健康管理</w:t>
      </w:r>
    </w:p>
    <w:p>
      <w:pPr>
        <w:spacing w:line="500" w:lineRule="exact"/>
        <w:ind w:firstLine="600" w:firstLineChars="200"/>
        <w:rPr>
          <w:rFonts w:ascii="仿宋" w:hAnsi="仿宋" w:eastAsia="仿宋" w:cs="仿宋"/>
          <w:sz w:val="30"/>
          <w:szCs w:val="30"/>
        </w:rPr>
      </w:pPr>
      <w:r>
        <w:rPr>
          <w:rFonts w:ascii="仿宋" w:hAnsi="仿宋" w:eastAsia="仿宋" w:cs="仿宋"/>
          <w:sz w:val="30"/>
          <w:szCs w:val="30"/>
        </w:rPr>
        <w:t>接续普通本科专业： 学前教育</w:t>
      </w:r>
    </w:p>
    <w:p>
      <w:pPr>
        <w:spacing w:line="500" w:lineRule="exact"/>
        <w:ind w:firstLine="600" w:firstLineChars="200"/>
        <w:rPr>
          <w:rFonts w:ascii="仿宋" w:hAnsi="仿宋" w:eastAsia="仿宋" w:cs="仿宋"/>
          <w:sz w:val="30"/>
          <w:szCs w:val="30"/>
        </w:rPr>
      </w:pPr>
    </w:p>
    <w:p>
      <w:pPr>
        <w:spacing w:line="500" w:lineRule="exact"/>
        <w:ind w:firstLine="600" w:firstLineChars="200"/>
        <w:rPr>
          <w:rFonts w:ascii="仿宋" w:hAnsi="仿宋" w:eastAsia="仿宋" w:cs="仿宋"/>
          <w:sz w:val="30"/>
          <w:szCs w:val="30"/>
        </w:rPr>
      </w:pPr>
    </w:p>
    <w:sectPr>
      <w:footerReference r:id="rId12" w:type="default"/>
      <w:footerReference r:id="rId13" w:type="even"/>
      <w:pgSz w:w="11907" w:h="16840"/>
      <w:pgMar w:top="1134" w:right="1134" w:bottom="1134" w:left="1134" w:header="851" w:footer="1247" w:gutter="0"/>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TimesNewRoman">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spacing w:line="240" w:lineRule="auto"/>
      <w:ind w:right="36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p>
    <w:pPr>
      <w:pStyle w:val="13"/>
      <w:spacing w:line="240" w:lineRule="auto"/>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25</w:t>
                    </w:r>
                    <w:r>
                      <w:fldChar w:fldCharType="end"/>
                    </w:r>
                  </w:p>
                </w:txbxContent>
              </v:textbox>
            </v:shape>
          </w:pict>
        </mc:Fallback>
      </mc:AlternateContent>
    </w:r>
  </w:p>
  <w:p>
    <w:pPr>
      <w:pStyle w:val="13"/>
      <w:spacing w:line="240" w:lineRule="auto"/>
      <w:ind w:right="360"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20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3854"/>
    <w:rsid w:val="00007532"/>
    <w:rsid w:val="0000796F"/>
    <w:rsid w:val="00010C0B"/>
    <w:rsid w:val="00012A8A"/>
    <w:rsid w:val="0001346F"/>
    <w:rsid w:val="000141F9"/>
    <w:rsid w:val="00016A1A"/>
    <w:rsid w:val="00021EEB"/>
    <w:rsid w:val="0002248F"/>
    <w:rsid w:val="0002475C"/>
    <w:rsid w:val="00024E7A"/>
    <w:rsid w:val="000260D9"/>
    <w:rsid w:val="000315CF"/>
    <w:rsid w:val="000319C2"/>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34D"/>
    <w:rsid w:val="00060BC7"/>
    <w:rsid w:val="00061A0E"/>
    <w:rsid w:val="000628FE"/>
    <w:rsid w:val="00063862"/>
    <w:rsid w:val="00063FE6"/>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0772"/>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0AD5"/>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03BD"/>
    <w:rsid w:val="00143999"/>
    <w:rsid w:val="0014750E"/>
    <w:rsid w:val="00150283"/>
    <w:rsid w:val="0015037C"/>
    <w:rsid w:val="001573AB"/>
    <w:rsid w:val="00157EB1"/>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1282"/>
    <w:rsid w:val="001D2A37"/>
    <w:rsid w:val="001D2A55"/>
    <w:rsid w:val="001D46F0"/>
    <w:rsid w:val="001D4F18"/>
    <w:rsid w:val="001E57CC"/>
    <w:rsid w:val="001E7B08"/>
    <w:rsid w:val="001F0304"/>
    <w:rsid w:val="001F0F54"/>
    <w:rsid w:val="001F3E7F"/>
    <w:rsid w:val="001F55BF"/>
    <w:rsid w:val="00201C38"/>
    <w:rsid w:val="00205622"/>
    <w:rsid w:val="00217DB2"/>
    <w:rsid w:val="0022094D"/>
    <w:rsid w:val="00220CE0"/>
    <w:rsid w:val="0022251F"/>
    <w:rsid w:val="00222E96"/>
    <w:rsid w:val="00223190"/>
    <w:rsid w:val="00223274"/>
    <w:rsid w:val="00225F50"/>
    <w:rsid w:val="00226D98"/>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4505A"/>
    <w:rsid w:val="002500BD"/>
    <w:rsid w:val="0025075C"/>
    <w:rsid w:val="00250DC3"/>
    <w:rsid w:val="0025268F"/>
    <w:rsid w:val="002529EB"/>
    <w:rsid w:val="00253C9E"/>
    <w:rsid w:val="00253E13"/>
    <w:rsid w:val="002557CD"/>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157C"/>
    <w:rsid w:val="00282DBA"/>
    <w:rsid w:val="00287772"/>
    <w:rsid w:val="00290006"/>
    <w:rsid w:val="002922A8"/>
    <w:rsid w:val="002930FF"/>
    <w:rsid w:val="00296CC2"/>
    <w:rsid w:val="002976BB"/>
    <w:rsid w:val="002A4C98"/>
    <w:rsid w:val="002A6F33"/>
    <w:rsid w:val="002B0EC8"/>
    <w:rsid w:val="002B4F8D"/>
    <w:rsid w:val="002B6923"/>
    <w:rsid w:val="002C327D"/>
    <w:rsid w:val="002C37FF"/>
    <w:rsid w:val="002C3C25"/>
    <w:rsid w:val="002C7BAC"/>
    <w:rsid w:val="002C7D80"/>
    <w:rsid w:val="002D0EBA"/>
    <w:rsid w:val="002D10BD"/>
    <w:rsid w:val="002D3EEE"/>
    <w:rsid w:val="002E1AB5"/>
    <w:rsid w:val="002E2B8E"/>
    <w:rsid w:val="002E59F8"/>
    <w:rsid w:val="002E74AE"/>
    <w:rsid w:val="002F2897"/>
    <w:rsid w:val="002F2D60"/>
    <w:rsid w:val="002F5DFB"/>
    <w:rsid w:val="002F6120"/>
    <w:rsid w:val="002F6644"/>
    <w:rsid w:val="0030139C"/>
    <w:rsid w:val="00302827"/>
    <w:rsid w:val="00302C99"/>
    <w:rsid w:val="00303DB0"/>
    <w:rsid w:val="00303DE5"/>
    <w:rsid w:val="00303F4E"/>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047A"/>
    <w:rsid w:val="00341432"/>
    <w:rsid w:val="003419AE"/>
    <w:rsid w:val="00343556"/>
    <w:rsid w:val="00343F54"/>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0B19"/>
    <w:rsid w:val="003A151C"/>
    <w:rsid w:val="003A1A6C"/>
    <w:rsid w:val="003A28DB"/>
    <w:rsid w:val="003A33D8"/>
    <w:rsid w:val="003A52ED"/>
    <w:rsid w:val="003A6241"/>
    <w:rsid w:val="003A67A2"/>
    <w:rsid w:val="003A6BD0"/>
    <w:rsid w:val="003A7705"/>
    <w:rsid w:val="003B0874"/>
    <w:rsid w:val="003B1AF7"/>
    <w:rsid w:val="003B3CFC"/>
    <w:rsid w:val="003B3E41"/>
    <w:rsid w:val="003B52B7"/>
    <w:rsid w:val="003B55FB"/>
    <w:rsid w:val="003B5AE4"/>
    <w:rsid w:val="003B71AB"/>
    <w:rsid w:val="003B7C94"/>
    <w:rsid w:val="003C0A25"/>
    <w:rsid w:val="003C449B"/>
    <w:rsid w:val="003C6E1B"/>
    <w:rsid w:val="003C7A6D"/>
    <w:rsid w:val="003D33BE"/>
    <w:rsid w:val="003D5717"/>
    <w:rsid w:val="003D6E50"/>
    <w:rsid w:val="003E1525"/>
    <w:rsid w:val="003E33CF"/>
    <w:rsid w:val="003E3503"/>
    <w:rsid w:val="003E4CB2"/>
    <w:rsid w:val="003F0E6F"/>
    <w:rsid w:val="003F0F4C"/>
    <w:rsid w:val="003F2E83"/>
    <w:rsid w:val="003F6E12"/>
    <w:rsid w:val="00400F2B"/>
    <w:rsid w:val="00401330"/>
    <w:rsid w:val="00402810"/>
    <w:rsid w:val="00402A90"/>
    <w:rsid w:val="00404F8D"/>
    <w:rsid w:val="00405B63"/>
    <w:rsid w:val="004065E9"/>
    <w:rsid w:val="00407E42"/>
    <w:rsid w:val="00412D54"/>
    <w:rsid w:val="00413814"/>
    <w:rsid w:val="0041397B"/>
    <w:rsid w:val="0041403E"/>
    <w:rsid w:val="00421E3F"/>
    <w:rsid w:val="00421FCE"/>
    <w:rsid w:val="00422023"/>
    <w:rsid w:val="00426CDF"/>
    <w:rsid w:val="004272E0"/>
    <w:rsid w:val="004272E3"/>
    <w:rsid w:val="00427A29"/>
    <w:rsid w:val="0043012C"/>
    <w:rsid w:val="0043160E"/>
    <w:rsid w:val="00432834"/>
    <w:rsid w:val="004330F9"/>
    <w:rsid w:val="0043357C"/>
    <w:rsid w:val="00433F0D"/>
    <w:rsid w:val="00434BAB"/>
    <w:rsid w:val="004360EB"/>
    <w:rsid w:val="0044051E"/>
    <w:rsid w:val="00440DA5"/>
    <w:rsid w:val="00445885"/>
    <w:rsid w:val="004468E2"/>
    <w:rsid w:val="00452319"/>
    <w:rsid w:val="00454102"/>
    <w:rsid w:val="00454786"/>
    <w:rsid w:val="0045592B"/>
    <w:rsid w:val="00457900"/>
    <w:rsid w:val="00460E30"/>
    <w:rsid w:val="004611AD"/>
    <w:rsid w:val="00470543"/>
    <w:rsid w:val="004723EA"/>
    <w:rsid w:val="0047262B"/>
    <w:rsid w:val="00472EC9"/>
    <w:rsid w:val="00480E92"/>
    <w:rsid w:val="004819D5"/>
    <w:rsid w:val="00482A61"/>
    <w:rsid w:val="00484779"/>
    <w:rsid w:val="00486618"/>
    <w:rsid w:val="004907B6"/>
    <w:rsid w:val="00490DA9"/>
    <w:rsid w:val="00493786"/>
    <w:rsid w:val="00493AFC"/>
    <w:rsid w:val="004940DC"/>
    <w:rsid w:val="004956EB"/>
    <w:rsid w:val="00495A95"/>
    <w:rsid w:val="0049720F"/>
    <w:rsid w:val="004A01E4"/>
    <w:rsid w:val="004A0B59"/>
    <w:rsid w:val="004A13B1"/>
    <w:rsid w:val="004A1970"/>
    <w:rsid w:val="004A569A"/>
    <w:rsid w:val="004B3C94"/>
    <w:rsid w:val="004B747E"/>
    <w:rsid w:val="004C6473"/>
    <w:rsid w:val="004D25E3"/>
    <w:rsid w:val="004D45DC"/>
    <w:rsid w:val="004D473F"/>
    <w:rsid w:val="004D6E77"/>
    <w:rsid w:val="004E3D85"/>
    <w:rsid w:val="004E6D5B"/>
    <w:rsid w:val="004E761D"/>
    <w:rsid w:val="004F021D"/>
    <w:rsid w:val="004F19B9"/>
    <w:rsid w:val="004F1AAB"/>
    <w:rsid w:val="004F2FDA"/>
    <w:rsid w:val="004F5F22"/>
    <w:rsid w:val="004F68C2"/>
    <w:rsid w:val="005015A4"/>
    <w:rsid w:val="00502BE2"/>
    <w:rsid w:val="005036DB"/>
    <w:rsid w:val="005036F5"/>
    <w:rsid w:val="00506A36"/>
    <w:rsid w:val="005076D0"/>
    <w:rsid w:val="00507994"/>
    <w:rsid w:val="005118F3"/>
    <w:rsid w:val="0051291D"/>
    <w:rsid w:val="00512CF1"/>
    <w:rsid w:val="00513E48"/>
    <w:rsid w:val="00514A17"/>
    <w:rsid w:val="005205C8"/>
    <w:rsid w:val="00522351"/>
    <w:rsid w:val="00523665"/>
    <w:rsid w:val="005256AC"/>
    <w:rsid w:val="005258CF"/>
    <w:rsid w:val="00527258"/>
    <w:rsid w:val="00527CAF"/>
    <w:rsid w:val="00530490"/>
    <w:rsid w:val="00532407"/>
    <w:rsid w:val="00535731"/>
    <w:rsid w:val="00535C58"/>
    <w:rsid w:val="00541DE3"/>
    <w:rsid w:val="00544F4B"/>
    <w:rsid w:val="00545878"/>
    <w:rsid w:val="00545EA8"/>
    <w:rsid w:val="005469AF"/>
    <w:rsid w:val="00546A47"/>
    <w:rsid w:val="005508C2"/>
    <w:rsid w:val="005519FD"/>
    <w:rsid w:val="00551BB9"/>
    <w:rsid w:val="00557ACD"/>
    <w:rsid w:val="00560FF7"/>
    <w:rsid w:val="00562665"/>
    <w:rsid w:val="005638A3"/>
    <w:rsid w:val="00565650"/>
    <w:rsid w:val="005662ED"/>
    <w:rsid w:val="0057191F"/>
    <w:rsid w:val="00572AED"/>
    <w:rsid w:val="005777FF"/>
    <w:rsid w:val="00577D57"/>
    <w:rsid w:val="0058046D"/>
    <w:rsid w:val="0058067C"/>
    <w:rsid w:val="0058177B"/>
    <w:rsid w:val="005839E4"/>
    <w:rsid w:val="005909C8"/>
    <w:rsid w:val="00591C5E"/>
    <w:rsid w:val="00591FB2"/>
    <w:rsid w:val="00592B67"/>
    <w:rsid w:val="00594771"/>
    <w:rsid w:val="00595526"/>
    <w:rsid w:val="00595B96"/>
    <w:rsid w:val="005960F2"/>
    <w:rsid w:val="005966BB"/>
    <w:rsid w:val="00596C94"/>
    <w:rsid w:val="00597CE0"/>
    <w:rsid w:val="005A0252"/>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4BE9"/>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0C4B"/>
    <w:rsid w:val="006340B7"/>
    <w:rsid w:val="00635C57"/>
    <w:rsid w:val="00636928"/>
    <w:rsid w:val="006407D0"/>
    <w:rsid w:val="00640EAD"/>
    <w:rsid w:val="006413B1"/>
    <w:rsid w:val="00644659"/>
    <w:rsid w:val="00644ECA"/>
    <w:rsid w:val="00644F9D"/>
    <w:rsid w:val="00646ADD"/>
    <w:rsid w:val="006471A5"/>
    <w:rsid w:val="00647416"/>
    <w:rsid w:val="00655717"/>
    <w:rsid w:val="006559A1"/>
    <w:rsid w:val="00655C20"/>
    <w:rsid w:val="00656C58"/>
    <w:rsid w:val="00660770"/>
    <w:rsid w:val="00660A4D"/>
    <w:rsid w:val="006616F2"/>
    <w:rsid w:val="00664438"/>
    <w:rsid w:val="006657F9"/>
    <w:rsid w:val="00673BD9"/>
    <w:rsid w:val="006746BF"/>
    <w:rsid w:val="00677DED"/>
    <w:rsid w:val="006824A8"/>
    <w:rsid w:val="006833D2"/>
    <w:rsid w:val="006841E1"/>
    <w:rsid w:val="00685B82"/>
    <w:rsid w:val="00686373"/>
    <w:rsid w:val="00690DD2"/>
    <w:rsid w:val="0069336C"/>
    <w:rsid w:val="006A54B7"/>
    <w:rsid w:val="006A717D"/>
    <w:rsid w:val="006B166C"/>
    <w:rsid w:val="006B1BFC"/>
    <w:rsid w:val="006B4E7D"/>
    <w:rsid w:val="006C4807"/>
    <w:rsid w:val="006C6EB7"/>
    <w:rsid w:val="006D2079"/>
    <w:rsid w:val="006D32D1"/>
    <w:rsid w:val="006D7024"/>
    <w:rsid w:val="006E1311"/>
    <w:rsid w:val="006E1D97"/>
    <w:rsid w:val="006E4CB7"/>
    <w:rsid w:val="006E5854"/>
    <w:rsid w:val="006E78E4"/>
    <w:rsid w:val="006E7C00"/>
    <w:rsid w:val="006F2517"/>
    <w:rsid w:val="006F2B0F"/>
    <w:rsid w:val="006F3481"/>
    <w:rsid w:val="00701C51"/>
    <w:rsid w:val="00703D09"/>
    <w:rsid w:val="007046F5"/>
    <w:rsid w:val="00710826"/>
    <w:rsid w:val="00711210"/>
    <w:rsid w:val="00711B3F"/>
    <w:rsid w:val="0071508F"/>
    <w:rsid w:val="00720C70"/>
    <w:rsid w:val="00723F6D"/>
    <w:rsid w:val="00727310"/>
    <w:rsid w:val="007309BA"/>
    <w:rsid w:val="0073494A"/>
    <w:rsid w:val="00736579"/>
    <w:rsid w:val="00736842"/>
    <w:rsid w:val="00741059"/>
    <w:rsid w:val="007423EB"/>
    <w:rsid w:val="00742DEF"/>
    <w:rsid w:val="007452DD"/>
    <w:rsid w:val="007466F6"/>
    <w:rsid w:val="00750777"/>
    <w:rsid w:val="00750E60"/>
    <w:rsid w:val="007512F5"/>
    <w:rsid w:val="00751E2D"/>
    <w:rsid w:val="00752170"/>
    <w:rsid w:val="00752607"/>
    <w:rsid w:val="00752EF1"/>
    <w:rsid w:val="00753574"/>
    <w:rsid w:val="00753A3C"/>
    <w:rsid w:val="007549EF"/>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05A0"/>
    <w:rsid w:val="00781B3E"/>
    <w:rsid w:val="00782409"/>
    <w:rsid w:val="00782967"/>
    <w:rsid w:val="00782B8C"/>
    <w:rsid w:val="007840D4"/>
    <w:rsid w:val="00784F12"/>
    <w:rsid w:val="00785089"/>
    <w:rsid w:val="0078558C"/>
    <w:rsid w:val="00786A9B"/>
    <w:rsid w:val="0079182A"/>
    <w:rsid w:val="00792A69"/>
    <w:rsid w:val="00792B12"/>
    <w:rsid w:val="00794629"/>
    <w:rsid w:val="00796105"/>
    <w:rsid w:val="007A412F"/>
    <w:rsid w:val="007A54FE"/>
    <w:rsid w:val="007B0915"/>
    <w:rsid w:val="007B5202"/>
    <w:rsid w:val="007B6277"/>
    <w:rsid w:val="007C227D"/>
    <w:rsid w:val="007C4C3C"/>
    <w:rsid w:val="007D199C"/>
    <w:rsid w:val="007D23B2"/>
    <w:rsid w:val="007E1B55"/>
    <w:rsid w:val="007E2CF6"/>
    <w:rsid w:val="007E32FA"/>
    <w:rsid w:val="007E3EC5"/>
    <w:rsid w:val="007E6EBB"/>
    <w:rsid w:val="007E6EE2"/>
    <w:rsid w:val="007E7F8C"/>
    <w:rsid w:val="007F007B"/>
    <w:rsid w:val="007F1426"/>
    <w:rsid w:val="007F179D"/>
    <w:rsid w:val="007F46F1"/>
    <w:rsid w:val="007F4D93"/>
    <w:rsid w:val="007F5A98"/>
    <w:rsid w:val="007F640C"/>
    <w:rsid w:val="007F7A26"/>
    <w:rsid w:val="007F7E29"/>
    <w:rsid w:val="0080329B"/>
    <w:rsid w:val="008134FC"/>
    <w:rsid w:val="008170B6"/>
    <w:rsid w:val="008179DF"/>
    <w:rsid w:val="00817E96"/>
    <w:rsid w:val="00821F11"/>
    <w:rsid w:val="0082255A"/>
    <w:rsid w:val="00822BA1"/>
    <w:rsid w:val="00824041"/>
    <w:rsid w:val="00826191"/>
    <w:rsid w:val="008268A9"/>
    <w:rsid w:val="00827B9B"/>
    <w:rsid w:val="00827EEC"/>
    <w:rsid w:val="008311C8"/>
    <w:rsid w:val="0084115E"/>
    <w:rsid w:val="0084128A"/>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6DB8"/>
    <w:rsid w:val="0089773A"/>
    <w:rsid w:val="008A26A9"/>
    <w:rsid w:val="008A2C29"/>
    <w:rsid w:val="008A2E92"/>
    <w:rsid w:val="008A7CC3"/>
    <w:rsid w:val="008B1088"/>
    <w:rsid w:val="008B3DFE"/>
    <w:rsid w:val="008B5D67"/>
    <w:rsid w:val="008B7647"/>
    <w:rsid w:val="008C2EAA"/>
    <w:rsid w:val="008C3128"/>
    <w:rsid w:val="008C68DF"/>
    <w:rsid w:val="008D08CF"/>
    <w:rsid w:val="008D0CCE"/>
    <w:rsid w:val="008D4F7C"/>
    <w:rsid w:val="008D6E81"/>
    <w:rsid w:val="008D7177"/>
    <w:rsid w:val="008E046E"/>
    <w:rsid w:val="008E1E06"/>
    <w:rsid w:val="008E4660"/>
    <w:rsid w:val="008F1051"/>
    <w:rsid w:val="008F1DE1"/>
    <w:rsid w:val="008F2339"/>
    <w:rsid w:val="008F2CAA"/>
    <w:rsid w:val="008F3A83"/>
    <w:rsid w:val="008F3BBC"/>
    <w:rsid w:val="008F5D9F"/>
    <w:rsid w:val="009034C4"/>
    <w:rsid w:val="00903C97"/>
    <w:rsid w:val="009041A7"/>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1DF7"/>
    <w:rsid w:val="0095496D"/>
    <w:rsid w:val="00954E2F"/>
    <w:rsid w:val="00960238"/>
    <w:rsid w:val="00962FCB"/>
    <w:rsid w:val="0097581C"/>
    <w:rsid w:val="00976D6E"/>
    <w:rsid w:val="009770D1"/>
    <w:rsid w:val="009849C6"/>
    <w:rsid w:val="00986F65"/>
    <w:rsid w:val="009871A0"/>
    <w:rsid w:val="009875A2"/>
    <w:rsid w:val="00993456"/>
    <w:rsid w:val="00993E98"/>
    <w:rsid w:val="009962DA"/>
    <w:rsid w:val="00997688"/>
    <w:rsid w:val="009A27EB"/>
    <w:rsid w:val="009A4085"/>
    <w:rsid w:val="009A665E"/>
    <w:rsid w:val="009B784A"/>
    <w:rsid w:val="009B7C99"/>
    <w:rsid w:val="009C0299"/>
    <w:rsid w:val="009C0621"/>
    <w:rsid w:val="009C1544"/>
    <w:rsid w:val="009C2385"/>
    <w:rsid w:val="009C48E6"/>
    <w:rsid w:val="009C732F"/>
    <w:rsid w:val="009D18AA"/>
    <w:rsid w:val="009D2271"/>
    <w:rsid w:val="009D4282"/>
    <w:rsid w:val="009D465E"/>
    <w:rsid w:val="009D63BE"/>
    <w:rsid w:val="009D741C"/>
    <w:rsid w:val="009E3E3E"/>
    <w:rsid w:val="009E4673"/>
    <w:rsid w:val="009E584A"/>
    <w:rsid w:val="009E6652"/>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57CBC"/>
    <w:rsid w:val="00A62C42"/>
    <w:rsid w:val="00A65450"/>
    <w:rsid w:val="00A65FE3"/>
    <w:rsid w:val="00A73A40"/>
    <w:rsid w:val="00A7451E"/>
    <w:rsid w:val="00A757A0"/>
    <w:rsid w:val="00A7616C"/>
    <w:rsid w:val="00A777E5"/>
    <w:rsid w:val="00A87443"/>
    <w:rsid w:val="00A8756B"/>
    <w:rsid w:val="00A91F38"/>
    <w:rsid w:val="00A92BF5"/>
    <w:rsid w:val="00A94FAD"/>
    <w:rsid w:val="00A9535E"/>
    <w:rsid w:val="00A96FE2"/>
    <w:rsid w:val="00A970AE"/>
    <w:rsid w:val="00AA3F55"/>
    <w:rsid w:val="00AA5E67"/>
    <w:rsid w:val="00AB1DDD"/>
    <w:rsid w:val="00AB2E8C"/>
    <w:rsid w:val="00AB2ECE"/>
    <w:rsid w:val="00AB385B"/>
    <w:rsid w:val="00AB45E6"/>
    <w:rsid w:val="00AB4E02"/>
    <w:rsid w:val="00AB5405"/>
    <w:rsid w:val="00AB6AE1"/>
    <w:rsid w:val="00AB6AF7"/>
    <w:rsid w:val="00AC31C4"/>
    <w:rsid w:val="00AC3671"/>
    <w:rsid w:val="00AC4450"/>
    <w:rsid w:val="00AC486B"/>
    <w:rsid w:val="00AC60E2"/>
    <w:rsid w:val="00AC6A4E"/>
    <w:rsid w:val="00AD10C2"/>
    <w:rsid w:val="00AD1E76"/>
    <w:rsid w:val="00AD1FAC"/>
    <w:rsid w:val="00AD3A89"/>
    <w:rsid w:val="00AD5AE0"/>
    <w:rsid w:val="00AD6365"/>
    <w:rsid w:val="00AD6B41"/>
    <w:rsid w:val="00AE06A3"/>
    <w:rsid w:val="00AE0756"/>
    <w:rsid w:val="00AF064A"/>
    <w:rsid w:val="00AF2358"/>
    <w:rsid w:val="00AF24EA"/>
    <w:rsid w:val="00AF272B"/>
    <w:rsid w:val="00AF3074"/>
    <w:rsid w:val="00AF328D"/>
    <w:rsid w:val="00AF3677"/>
    <w:rsid w:val="00AF4CD2"/>
    <w:rsid w:val="00AF7ABB"/>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873"/>
    <w:rsid w:val="00B25CC1"/>
    <w:rsid w:val="00B31FE0"/>
    <w:rsid w:val="00B33A06"/>
    <w:rsid w:val="00B33F50"/>
    <w:rsid w:val="00B34A0B"/>
    <w:rsid w:val="00B34AD2"/>
    <w:rsid w:val="00B35E3E"/>
    <w:rsid w:val="00B37F30"/>
    <w:rsid w:val="00B42CC5"/>
    <w:rsid w:val="00B42E72"/>
    <w:rsid w:val="00B44AB6"/>
    <w:rsid w:val="00B4541C"/>
    <w:rsid w:val="00B45EE0"/>
    <w:rsid w:val="00B45F3A"/>
    <w:rsid w:val="00B4634F"/>
    <w:rsid w:val="00B468F1"/>
    <w:rsid w:val="00B47449"/>
    <w:rsid w:val="00B50483"/>
    <w:rsid w:val="00B511CD"/>
    <w:rsid w:val="00B52F1F"/>
    <w:rsid w:val="00B538D2"/>
    <w:rsid w:val="00B56405"/>
    <w:rsid w:val="00B56537"/>
    <w:rsid w:val="00B6612B"/>
    <w:rsid w:val="00B66570"/>
    <w:rsid w:val="00B71D80"/>
    <w:rsid w:val="00B73740"/>
    <w:rsid w:val="00B74EB0"/>
    <w:rsid w:val="00B75423"/>
    <w:rsid w:val="00B7749E"/>
    <w:rsid w:val="00B77960"/>
    <w:rsid w:val="00B80B0F"/>
    <w:rsid w:val="00B830BE"/>
    <w:rsid w:val="00B87494"/>
    <w:rsid w:val="00B87F68"/>
    <w:rsid w:val="00B91AEE"/>
    <w:rsid w:val="00B947A5"/>
    <w:rsid w:val="00B94B1D"/>
    <w:rsid w:val="00B94D62"/>
    <w:rsid w:val="00B94F74"/>
    <w:rsid w:val="00B972D2"/>
    <w:rsid w:val="00B97376"/>
    <w:rsid w:val="00BA281D"/>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222"/>
    <w:rsid w:val="00BE1A27"/>
    <w:rsid w:val="00BE3414"/>
    <w:rsid w:val="00BE5D96"/>
    <w:rsid w:val="00BE7995"/>
    <w:rsid w:val="00BF1B1B"/>
    <w:rsid w:val="00BF2329"/>
    <w:rsid w:val="00BF3505"/>
    <w:rsid w:val="00BF5039"/>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2F21"/>
    <w:rsid w:val="00C24AF2"/>
    <w:rsid w:val="00C25112"/>
    <w:rsid w:val="00C25B71"/>
    <w:rsid w:val="00C26369"/>
    <w:rsid w:val="00C31CFF"/>
    <w:rsid w:val="00C35B86"/>
    <w:rsid w:val="00C367F4"/>
    <w:rsid w:val="00C36E2B"/>
    <w:rsid w:val="00C41737"/>
    <w:rsid w:val="00C446A0"/>
    <w:rsid w:val="00C4522A"/>
    <w:rsid w:val="00C472E7"/>
    <w:rsid w:val="00C475FB"/>
    <w:rsid w:val="00C47DC8"/>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1868"/>
    <w:rsid w:val="00C93075"/>
    <w:rsid w:val="00C942CD"/>
    <w:rsid w:val="00C96B4E"/>
    <w:rsid w:val="00CA1A7F"/>
    <w:rsid w:val="00CA2C38"/>
    <w:rsid w:val="00CB0CF9"/>
    <w:rsid w:val="00CB16C7"/>
    <w:rsid w:val="00CB1763"/>
    <w:rsid w:val="00CB2E36"/>
    <w:rsid w:val="00CB5482"/>
    <w:rsid w:val="00CC11F9"/>
    <w:rsid w:val="00CC1FD0"/>
    <w:rsid w:val="00CC28D4"/>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2D04"/>
    <w:rsid w:val="00D1564D"/>
    <w:rsid w:val="00D222A7"/>
    <w:rsid w:val="00D2270C"/>
    <w:rsid w:val="00D247D2"/>
    <w:rsid w:val="00D25D33"/>
    <w:rsid w:val="00D261F0"/>
    <w:rsid w:val="00D308CB"/>
    <w:rsid w:val="00D31893"/>
    <w:rsid w:val="00D31C6B"/>
    <w:rsid w:val="00D321FC"/>
    <w:rsid w:val="00D3278F"/>
    <w:rsid w:val="00D34190"/>
    <w:rsid w:val="00D35E68"/>
    <w:rsid w:val="00D36ADF"/>
    <w:rsid w:val="00D46BEA"/>
    <w:rsid w:val="00D479F7"/>
    <w:rsid w:val="00D50A18"/>
    <w:rsid w:val="00D53CF3"/>
    <w:rsid w:val="00D624A1"/>
    <w:rsid w:val="00D6338D"/>
    <w:rsid w:val="00D6685C"/>
    <w:rsid w:val="00D67AFD"/>
    <w:rsid w:val="00D7435C"/>
    <w:rsid w:val="00D76268"/>
    <w:rsid w:val="00D77566"/>
    <w:rsid w:val="00D7777E"/>
    <w:rsid w:val="00D80ED9"/>
    <w:rsid w:val="00D81B22"/>
    <w:rsid w:val="00D81C6D"/>
    <w:rsid w:val="00D85459"/>
    <w:rsid w:val="00D8748D"/>
    <w:rsid w:val="00D918C7"/>
    <w:rsid w:val="00D91F74"/>
    <w:rsid w:val="00D9200B"/>
    <w:rsid w:val="00D92049"/>
    <w:rsid w:val="00D93749"/>
    <w:rsid w:val="00D9581A"/>
    <w:rsid w:val="00D96D0D"/>
    <w:rsid w:val="00DA2274"/>
    <w:rsid w:val="00DA6FE6"/>
    <w:rsid w:val="00DA70B9"/>
    <w:rsid w:val="00DA7707"/>
    <w:rsid w:val="00DB0251"/>
    <w:rsid w:val="00DC237A"/>
    <w:rsid w:val="00DC3175"/>
    <w:rsid w:val="00DC5A95"/>
    <w:rsid w:val="00DD181C"/>
    <w:rsid w:val="00DD25CB"/>
    <w:rsid w:val="00DD2B04"/>
    <w:rsid w:val="00DD3CA7"/>
    <w:rsid w:val="00DD53CB"/>
    <w:rsid w:val="00DD7AA9"/>
    <w:rsid w:val="00DE0A34"/>
    <w:rsid w:val="00DE1DAC"/>
    <w:rsid w:val="00DE5B9C"/>
    <w:rsid w:val="00DF2148"/>
    <w:rsid w:val="00DF4B46"/>
    <w:rsid w:val="00DF4F49"/>
    <w:rsid w:val="00E00E81"/>
    <w:rsid w:val="00E02A67"/>
    <w:rsid w:val="00E060D7"/>
    <w:rsid w:val="00E06BB6"/>
    <w:rsid w:val="00E075F7"/>
    <w:rsid w:val="00E078E9"/>
    <w:rsid w:val="00E107BF"/>
    <w:rsid w:val="00E10EBE"/>
    <w:rsid w:val="00E11BBF"/>
    <w:rsid w:val="00E12F73"/>
    <w:rsid w:val="00E13944"/>
    <w:rsid w:val="00E14A20"/>
    <w:rsid w:val="00E14D36"/>
    <w:rsid w:val="00E16F1F"/>
    <w:rsid w:val="00E179A1"/>
    <w:rsid w:val="00E22E01"/>
    <w:rsid w:val="00E27858"/>
    <w:rsid w:val="00E317A3"/>
    <w:rsid w:val="00E32A64"/>
    <w:rsid w:val="00E3533E"/>
    <w:rsid w:val="00E3547A"/>
    <w:rsid w:val="00E35902"/>
    <w:rsid w:val="00E36070"/>
    <w:rsid w:val="00E43CD3"/>
    <w:rsid w:val="00E45BE5"/>
    <w:rsid w:val="00E46AA6"/>
    <w:rsid w:val="00E506D9"/>
    <w:rsid w:val="00E50C06"/>
    <w:rsid w:val="00E518DD"/>
    <w:rsid w:val="00E53638"/>
    <w:rsid w:val="00E63FA3"/>
    <w:rsid w:val="00E642FA"/>
    <w:rsid w:val="00E661F4"/>
    <w:rsid w:val="00E6634A"/>
    <w:rsid w:val="00E67FAB"/>
    <w:rsid w:val="00E705EF"/>
    <w:rsid w:val="00E74ED7"/>
    <w:rsid w:val="00E75B6B"/>
    <w:rsid w:val="00E80375"/>
    <w:rsid w:val="00E81D78"/>
    <w:rsid w:val="00E82BDD"/>
    <w:rsid w:val="00E84A2C"/>
    <w:rsid w:val="00E93728"/>
    <w:rsid w:val="00E94A92"/>
    <w:rsid w:val="00E97929"/>
    <w:rsid w:val="00EA199F"/>
    <w:rsid w:val="00EA201E"/>
    <w:rsid w:val="00EA2FC5"/>
    <w:rsid w:val="00EA3AAE"/>
    <w:rsid w:val="00EA461D"/>
    <w:rsid w:val="00EA6E61"/>
    <w:rsid w:val="00EA6F65"/>
    <w:rsid w:val="00EA7782"/>
    <w:rsid w:val="00EA7CF1"/>
    <w:rsid w:val="00EB6119"/>
    <w:rsid w:val="00EC1395"/>
    <w:rsid w:val="00EC6F55"/>
    <w:rsid w:val="00EC7DFE"/>
    <w:rsid w:val="00ED0796"/>
    <w:rsid w:val="00ED2EF6"/>
    <w:rsid w:val="00ED362A"/>
    <w:rsid w:val="00ED4222"/>
    <w:rsid w:val="00ED5EF3"/>
    <w:rsid w:val="00ED62CE"/>
    <w:rsid w:val="00EE26FB"/>
    <w:rsid w:val="00EF2B78"/>
    <w:rsid w:val="00EF4332"/>
    <w:rsid w:val="00EF6001"/>
    <w:rsid w:val="00EF6718"/>
    <w:rsid w:val="00EF7677"/>
    <w:rsid w:val="00F01D66"/>
    <w:rsid w:val="00F03208"/>
    <w:rsid w:val="00F06D65"/>
    <w:rsid w:val="00F155B5"/>
    <w:rsid w:val="00F15E19"/>
    <w:rsid w:val="00F16B61"/>
    <w:rsid w:val="00F178B4"/>
    <w:rsid w:val="00F17D48"/>
    <w:rsid w:val="00F20496"/>
    <w:rsid w:val="00F27BD5"/>
    <w:rsid w:val="00F303B6"/>
    <w:rsid w:val="00F33F8F"/>
    <w:rsid w:val="00F34025"/>
    <w:rsid w:val="00F36A57"/>
    <w:rsid w:val="00F40C17"/>
    <w:rsid w:val="00F44BAD"/>
    <w:rsid w:val="00F45969"/>
    <w:rsid w:val="00F5127C"/>
    <w:rsid w:val="00F5237E"/>
    <w:rsid w:val="00F5385B"/>
    <w:rsid w:val="00F53D16"/>
    <w:rsid w:val="00F54157"/>
    <w:rsid w:val="00F57491"/>
    <w:rsid w:val="00F60C67"/>
    <w:rsid w:val="00F6260E"/>
    <w:rsid w:val="00F653D6"/>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545"/>
    <w:rsid w:val="00FA165C"/>
    <w:rsid w:val="00FB1968"/>
    <w:rsid w:val="00FB40EC"/>
    <w:rsid w:val="00FB4970"/>
    <w:rsid w:val="00FB62B2"/>
    <w:rsid w:val="00FB79BF"/>
    <w:rsid w:val="00FC12BD"/>
    <w:rsid w:val="00FC7137"/>
    <w:rsid w:val="00FD03E0"/>
    <w:rsid w:val="00FD1ACB"/>
    <w:rsid w:val="00FE020C"/>
    <w:rsid w:val="00FE1C02"/>
    <w:rsid w:val="00FE268B"/>
    <w:rsid w:val="00FE279E"/>
    <w:rsid w:val="00FE7587"/>
    <w:rsid w:val="00FE7A3D"/>
    <w:rsid w:val="00FF2AA3"/>
    <w:rsid w:val="00FF6286"/>
    <w:rsid w:val="00FF6843"/>
    <w:rsid w:val="010C0502"/>
    <w:rsid w:val="015A1D63"/>
    <w:rsid w:val="01A16E8E"/>
    <w:rsid w:val="01AB5512"/>
    <w:rsid w:val="02D84229"/>
    <w:rsid w:val="041E22FB"/>
    <w:rsid w:val="045C354F"/>
    <w:rsid w:val="049F168E"/>
    <w:rsid w:val="04BB7ED2"/>
    <w:rsid w:val="05465DE3"/>
    <w:rsid w:val="06305825"/>
    <w:rsid w:val="06D5093D"/>
    <w:rsid w:val="074402CA"/>
    <w:rsid w:val="075E138C"/>
    <w:rsid w:val="0843749E"/>
    <w:rsid w:val="0A075D0B"/>
    <w:rsid w:val="0A2C74AD"/>
    <w:rsid w:val="0A48452A"/>
    <w:rsid w:val="0A4A209B"/>
    <w:rsid w:val="0AB0644B"/>
    <w:rsid w:val="0B310B66"/>
    <w:rsid w:val="0D2F21E6"/>
    <w:rsid w:val="0D682F64"/>
    <w:rsid w:val="0D732B2C"/>
    <w:rsid w:val="0E1108AC"/>
    <w:rsid w:val="0E224237"/>
    <w:rsid w:val="0E423199"/>
    <w:rsid w:val="0EAA0375"/>
    <w:rsid w:val="0EB421D9"/>
    <w:rsid w:val="0ED2440E"/>
    <w:rsid w:val="0F3D21CF"/>
    <w:rsid w:val="0F5509B0"/>
    <w:rsid w:val="0F601A19"/>
    <w:rsid w:val="101B016E"/>
    <w:rsid w:val="108452C1"/>
    <w:rsid w:val="10E20499"/>
    <w:rsid w:val="116A6D7C"/>
    <w:rsid w:val="11A9611E"/>
    <w:rsid w:val="1248188D"/>
    <w:rsid w:val="1272041A"/>
    <w:rsid w:val="129E7088"/>
    <w:rsid w:val="12A232C0"/>
    <w:rsid w:val="13D53AA5"/>
    <w:rsid w:val="15BF16CB"/>
    <w:rsid w:val="1739003E"/>
    <w:rsid w:val="17442A96"/>
    <w:rsid w:val="17461261"/>
    <w:rsid w:val="17B97ABD"/>
    <w:rsid w:val="18422604"/>
    <w:rsid w:val="19960AA9"/>
    <w:rsid w:val="19EC6BD7"/>
    <w:rsid w:val="1A187AC0"/>
    <w:rsid w:val="1A424B3D"/>
    <w:rsid w:val="1A741289"/>
    <w:rsid w:val="1A7434AE"/>
    <w:rsid w:val="1ABD1DF6"/>
    <w:rsid w:val="1AF44089"/>
    <w:rsid w:val="1B1A2373"/>
    <w:rsid w:val="1B395F40"/>
    <w:rsid w:val="1BA522ED"/>
    <w:rsid w:val="1CEC0D90"/>
    <w:rsid w:val="1D1522F2"/>
    <w:rsid w:val="1D912C10"/>
    <w:rsid w:val="1EFA3C38"/>
    <w:rsid w:val="1F5350F7"/>
    <w:rsid w:val="204213F3"/>
    <w:rsid w:val="208E5E96"/>
    <w:rsid w:val="2120368E"/>
    <w:rsid w:val="21982431"/>
    <w:rsid w:val="21A50B57"/>
    <w:rsid w:val="227635D6"/>
    <w:rsid w:val="24CD1C80"/>
    <w:rsid w:val="27BD5803"/>
    <w:rsid w:val="287D718B"/>
    <w:rsid w:val="289730BA"/>
    <w:rsid w:val="28A8200F"/>
    <w:rsid w:val="28AA222B"/>
    <w:rsid w:val="29A9603F"/>
    <w:rsid w:val="29C4731D"/>
    <w:rsid w:val="29F73A25"/>
    <w:rsid w:val="2A135BAE"/>
    <w:rsid w:val="2B84745F"/>
    <w:rsid w:val="2BBC622D"/>
    <w:rsid w:val="2BD73F0E"/>
    <w:rsid w:val="2C273B93"/>
    <w:rsid w:val="2C46226B"/>
    <w:rsid w:val="2C602C01"/>
    <w:rsid w:val="2CB959CD"/>
    <w:rsid w:val="2CD15DCE"/>
    <w:rsid w:val="2D245FEA"/>
    <w:rsid w:val="2D9554F2"/>
    <w:rsid w:val="2DD71C21"/>
    <w:rsid w:val="2E2E745B"/>
    <w:rsid w:val="2ED07704"/>
    <w:rsid w:val="2F18654D"/>
    <w:rsid w:val="2FEF6776"/>
    <w:rsid w:val="307B625B"/>
    <w:rsid w:val="3140197F"/>
    <w:rsid w:val="317B3047"/>
    <w:rsid w:val="344515CE"/>
    <w:rsid w:val="36C7044C"/>
    <w:rsid w:val="36F079A3"/>
    <w:rsid w:val="371043AE"/>
    <w:rsid w:val="37ED3682"/>
    <w:rsid w:val="382B67B9"/>
    <w:rsid w:val="39B32692"/>
    <w:rsid w:val="39FE23D7"/>
    <w:rsid w:val="3AA41AE8"/>
    <w:rsid w:val="3AC71D0D"/>
    <w:rsid w:val="3B48444D"/>
    <w:rsid w:val="3B575FA0"/>
    <w:rsid w:val="3BC1546A"/>
    <w:rsid w:val="3CB8472D"/>
    <w:rsid w:val="3CBA010B"/>
    <w:rsid w:val="3D8F1598"/>
    <w:rsid w:val="3E300685"/>
    <w:rsid w:val="3E496D17"/>
    <w:rsid w:val="3EF9251F"/>
    <w:rsid w:val="3F9D3335"/>
    <w:rsid w:val="3FEA4211"/>
    <w:rsid w:val="4069269E"/>
    <w:rsid w:val="4158062C"/>
    <w:rsid w:val="42B57D06"/>
    <w:rsid w:val="439F2829"/>
    <w:rsid w:val="43FC76CD"/>
    <w:rsid w:val="45233CAF"/>
    <w:rsid w:val="454D5FC1"/>
    <w:rsid w:val="46EB3CE3"/>
    <w:rsid w:val="47B24801"/>
    <w:rsid w:val="47C64868"/>
    <w:rsid w:val="47E70106"/>
    <w:rsid w:val="482E5121"/>
    <w:rsid w:val="48911E16"/>
    <w:rsid w:val="4897331F"/>
    <w:rsid w:val="48CD7A4F"/>
    <w:rsid w:val="498B60E9"/>
    <w:rsid w:val="49AD42C1"/>
    <w:rsid w:val="49C452E0"/>
    <w:rsid w:val="49C7002C"/>
    <w:rsid w:val="4A6921BC"/>
    <w:rsid w:val="4B1135EE"/>
    <w:rsid w:val="4B276F4F"/>
    <w:rsid w:val="4BBE19C6"/>
    <w:rsid w:val="4CF34928"/>
    <w:rsid w:val="4E1D32BD"/>
    <w:rsid w:val="4F075432"/>
    <w:rsid w:val="4FEE65F2"/>
    <w:rsid w:val="50493828"/>
    <w:rsid w:val="5099655E"/>
    <w:rsid w:val="513B5867"/>
    <w:rsid w:val="51A52CE0"/>
    <w:rsid w:val="51F577C4"/>
    <w:rsid w:val="5577174D"/>
    <w:rsid w:val="56093997"/>
    <w:rsid w:val="56332FB1"/>
    <w:rsid w:val="568A2E25"/>
    <w:rsid w:val="57081D47"/>
    <w:rsid w:val="57262899"/>
    <w:rsid w:val="572B1A2F"/>
    <w:rsid w:val="58306F9A"/>
    <w:rsid w:val="58BA1767"/>
    <w:rsid w:val="58FA61CD"/>
    <w:rsid w:val="591E1CF6"/>
    <w:rsid w:val="5A6220B6"/>
    <w:rsid w:val="5A751DEA"/>
    <w:rsid w:val="5A9600C8"/>
    <w:rsid w:val="5BCA7F13"/>
    <w:rsid w:val="5BF40AEC"/>
    <w:rsid w:val="5C91458D"/>
    <w:rsid w:val="5D1D22C5"/>
    <w:rsid w:val="5DFF6AED"/>
    <w:rsid w:val="5E1F0D3F"/>
    <w:rsid w:val="5EB17168"/>
    <w:rsid w:val="5F323FDE"/>
    <w:rsid w:val="6008100A"/>
    <w:rsid w:val="600F4147"/>
    <w:rsid w:val="610619ED"/>
    <w:rsid w:val="61B628DB"/>
    <w:rsid w:val="61C947C9"/>
    <w:rsid w:val="61D770D4"/>
    <w:rsid w:val="63085EC5"/>
    <w:rsid w:val="6425176E"/>
    <w:rsid w:val="64516CD9"/>
    <w:rsid w:val="649E3D74"/>
    <w:rsid w:val="658F4C0E"/>
    <w:rsid w:val="65D31C24"/>
    <w:rsid w:val="661A1A97"/>
    <w:rsid w:val="67140294"/>
    <w:rsid w:val="674C6628"/>
    <w:rsid w:val="67566AFF"/>
    <w:rsid w:val="675A65EF"/>
    <w:rsid w:val="68080793"/>
    <w:rsid w:val="68D8137E"/>
    <w:rsid w:val="68E50599"/>
    <w:rsid w:val="6A1A02B8"/>
    <w:rsid w:val="6B4639FD"/>
    <w:rsid w:val="6C3B0CBD"/>
    <w:rsid w:val="6C553829"/>
    <w:rsid w:val="6D303B30"/>
    <w:rsid w:val="6DB85E1E"/>
    <w:rsid w:val="6E2816DE"/>
    <w:rsid w:val="6E3F7887"/>
    <w:rsid w:val="6F0230C8"/>
    <w:rsid w:val="6FA54717"/>
    <w:rsid w:val="6FFF2863"/>
    <w:rsid w:val="70486052"/>
    <w:rsid w:val="705A1D94"/>
    <w:rsid w:val="70CB40BA"/>
    <w:rsid w:val="715A029C"/>
    <w:rsid w:val="73701EFD"/>
    <w:rsid w:val="738F4DA6"/>
    <w:rsid w:val="73B451E2"/>
    <w:rsid w:val="747405C4"/>
    <w:rsid w:val="749534C9"/>
    <w:rsid w:val="74AE150D"/>
    <w:rsid w:val="74D177C5"/>
    <w:rsid w:val="75137B94"/>
    <w:rsid w:val="75175B20"/>
    <w:rsid w:val="75A35605"/>
    <w:rsid w:val="75EC353E"/>
    <w:rsid w:val="77974CF6"/>
    <w:rsid w:val="786C6E8A"/>
    <w:rsid w:val="7878534F"/>
    <w:rsid w:val="7A0D370B"/>
    <w:rsid w:val="7B000FCE"/>
    <w:rsid w:val="7C1E59E5"/>
    <w:rsid w:val="7C552234"/>
    <w:rsid w:val="7C7B1EAF"/>
    <w:rsid w:val="7C8F68E3"/>
    <w:rsid w:val="7D4E6C16"/>
    <w:rsid w:val="7D787377"/>
    <w:rsid w:val="7D7D0EC6"/>
    <w:rsid w:val="7E4F0F31"/>
    <w:rsid w:val="7E63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8"/>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9"/>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2"/>
    <w:qFormat/>
    <w:uiPriority w:val="0"/>
    <w:pPr>
      <w:jc w:val="left"/>
    </w:pPr>
    <w:rPr>
      <w:snapToGrid/>
      <w:sz w:val="21"/>
      <w:szCs w:val="22"/>
    </w:rPr>
  </w:style>
  <w:style w:type="paragraph" w:styleId="7">
    <w:name w:val="Body Text"/>
    <w:basedOn w:val="1"/>
    <w:link w:val="33"/>
    <w:qFormat/>
    <w:uiPriority w:val="0"/>
    <w:rPr>
      <w:snapToGrid/>
      <w:color w:val="FF0000"/>
      <w:kern w:val="0"/>
      <w:sz w:val="20"/>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99"/>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2"/>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20"/>
    <w:rPr>
      <w:i/>
      <w:iCs/>
    </w:rPr>
  </w:style>
  <w:style w:type="character" w:styleId="26">
    <w:name w:val="Hyperlink"/>
    <w:qFormat/>
    <w:uiPriority w:val="0"/>
    <w:rPr>
      <w:color w:val="0000FF"/>
      <w:u w:val="single"/>
    </w:rPr>
  </w:style>
  <w:style w:type="character" w:styleId="27">
    <w:name w:val="annotation reference"/>
    <w:semiHidden/>
    <w:qFormat/>
    <w:uiPriority w:val="0"/>
    <w:rPr>
      <w:sz w:val="21"/>
    </w:rPr>
  </w:style>
  <w:style w:type="character" w:customStyle="1" w:styleId="28">
    <w:name w:val="标题 1 字符"/>
    <w:link w:val="2"/>
    <w:qFormat/>
    <w:locked/>
    <w:uiPriority w:val="0"/>
    <w:rPr>
      <w:rFonts w:eastAsia="宋体"/>
      <w:b/>
      <w:bCs/>
      <w:kern w:val="44"/>
      <w:sz w:val="44"/>
      <w:szCs w:val="44"/>
      <w:lang w:val="en-US" w:eastAsia="zh-CN" w:bidi="ar-SA"/>
    </w:rPr>
  </w:style>
  <w:style w:type="character" w:customStyle="1" w:styleId="29">
    <w:name w:val="标题 2 字符"/>
    <w:link w:val="3"/>
    <w:qFormat/>
    <w:locked/>
    <w:uiPriority w:val="0"/>
    <w:rPr>
      <w:rFonts w:ascii="Arial" w:hAnsi="Arial" w:eastAsia="黑体" w:cs="Arial"/>
      <w:b/>
      <w:bCs/>
      <w:kern w:val="2"/>
      <w:sz w:val="32"/>
      <w:szCs w:val="32"/>
      <w:lang w:val="en-US" w:eastAsia="zh-CN" w:bidi="ar-SA"/>
    </w:rPr>
  </w:style>
  <w:style w:type="character" w:customStyle="1" w:styleId="30">
    <w:name w:val="标题 3 字符"/>
    <w:link w:val="4"/>
    <w:semiHidden/>
    <w:qFormat/>
    <w:locked/>
    <w:uiPriority w:val="0"/>
    <w:rPr>
      <w:rFonts w:eastAsia="宋体"/>
      <w:b/>
      <w:bCs/>
      <w:kern w:val="2"/>
      <w:sz w:val="32"/>
      <w:szCs w:val="32"/>
      <w:lang w:val="en-US" w:eastAsia="zh-CN" w:bidi="ar-SA"/>
    </w:rPr>
  </w:style>
  <w:style w:type="character" w:customStyle="1" w:styleId="31">
    <w:name w:val="文档结构图 字符"/>
    <w:link w:val="5"/>
    <w:qFormat/>
    <w:locked/>
    <w:uiPriority w:val="0"/>
    <w:rPr>
      <w:rFonts w:eastAsia="宋体"/>
      <w:kern w:val="2"/>
      <w:sz w:val="24"/>
      <w:szCs w:val="24"/>
      <w:lang w:val="en-US" w:eastAsia="zh-CN" w:bidi="ar-SA"/>
    </w:rPr>
  </w:style>
  <w:style w:type="character" w:customStyle="1" w:styleId="32">
    <w:name w:val="批注文字 字符"/>
    <w:link w:val="6"/>
    <w:qFormat/>
    <w:uiPriority w:val="0"/>
    <w:rPr>
      <w:kern w:val="2"/>
      <w:sz w:val="21"/>
      <w:szCs w:val="22"/>
    </w:rPr>
  </w:style>
  <w:style w:type="character" w:customStyle="1" w:styleId="33">
    <w:name w:val="正文文本 字符"/>
    <w:link w:val="7"/>
    <w:qFormat/>
    <w:locked/>
    <w:uiPriority w:val="0"/>
    <w:rPr>
      <w:color w:val="FF0000"/>
      <w:szCs w:val="21"/>
    </w:rPr>
  </w:style>
  <w:style w:type="character" w:customStyle="1" w:styleId="34">
    <w:name w:val="正文文本缩进 字符"/>
    <w:link w:val="8"/>
    <w:qFormat/>
    <w:locked/>
    <w:uiPriority w:val="0"/>
    <w:rPr>
      <w:rFonts w:eastAsia="宋体"/>
      <w:kern w:val="2"/>
      <w:sz w:val="21"/>
      <w:szCs w:val="21"/>
      <w:lang w:val="en-US" w:eastAsia="zh-CN" w:bidi="ar-SA"/>
    </w:rPr>
  </w:style>
  <w:style w:type="character" w:customStyle="1" w:styleId="35">
    <w:name w:val="纯文本 字符"/>
    <w:link w:val="9"/>
    <w:qFormat/>
    <w:locked/>
    <w:uiPriority w:val="0"/>
    <w:rPr>
      <w:rFonts w:ascii="宋体" w:hAnsi="Courier New"/>
      <w:kern w:val="2"/>
      <w:sz w:val="21"/>
      <w:lang w:bidi="ar-SA"/>
    </w:rPr>
  </w:style>
  <w:style w:type="character" w:customStyle="1" w:styleId="36">
    <w:name w:val="日期 字符"/>
    <w:link w:val="10"/>
    <w:semiHidden/>
    <w:qFormat/>
    <w:locked/>
    <w:uiPriority w:val="0"/>
    <w:rPr>
      <w:rFonts w:eastAsia="宋体"/>
      <w:lang w:val="en-US" w:eastAsia="zh-CN" w:bidi="ar-SA"/>
    </w:rPr>
  </w:style>
  <w:style w:type="character" w:customStyle="1" w:styleId="37">
    <w:name w:val="正文文本缩进 2 字符"/>
    <w:link w:val="11"/>
    <w:qFormat/>
    <w:locked/>
    <w:uiPriority w:val="0"/>
    <w:rPr>
      <w:rFonts w:ascii="宋体"/>
      <w:kern w:val="2"/>
      <w:sz w:val="24"/>
      <w:lang w:bidi="ar-SA"/>
    </w:rPr>
  </w:style>
  <w:style w:type="character" w:customStyle="1" w:styleId="38">
    <w:name w:val="批注框文本 字符"/>
    <w:link w:val="12"/>
    <w:qFormat/>
    <w:locked/>
    <w:uiPriority w:val="0"/>
    <w:rPr>
      <w:rFonts w:eastAsia="宋体"/>
      <w:snapToGrid w:val="0"/>
      <w:kern w:val="2"/>
      <w:sz w:val="18"/>
      <w:szCs w:val="18"/>
      <w:lang w:val="en-US" w:eastAsia="zh-CN" w:bidi="ar-SA"/>
    </w:rPr>
  </w:style>
  <w:style w:type="character" w:customStyle="1" w:styleId="39">
    <w:name w:val="页脚 字符"/>
    <w:link w:val="13"/>
    <w:qFormat/>
    <w:uiPriority w:val="0"/>
    <w:rPr>
      <w:sz w:val="18"/>
      <w:szCs w:val="18"/>
    </w:rPr>
  </w:style>
  <w:style w:type="character" w:customStyle="1" w:styleId="40">
    <w:name w:val="页眉 字符"/>
    <w:link w:val="14"/>
    <w:qFormat/>
    <w:uiPriority w:val="0"/>
    <w:rPr>
      <w:sz w:val="18"/>
      <w:szCs w:val="18"/>
    </w:rPr>
  </w:style>
  <w:style w:type="character" w:customStyle="1" w:styleId="41">
    <w:name w:val="标题 字符"/>
    <w:link w:val="17"/>
    <w:qFormat/>
    <w:uiPriority w:val="0"/>
    <w:rPr>
      <w:rFonts w:ascii="Cambria" w:hAnsi="Cambria" w:cs="Times New Roman"/>
      <w:b/>
      <w:bCs/>
      <w:kern w:val="2"/>
      <w:sz w:val="32"/>
      <w:szCs w:val="32"/>
    </w:rPr>
  </w:style>
  <w:style w:type="character" w:customStyle="1" w:styleId="42">
    <w:name w:val="批注主题 字符"/>
    <w:link w:val="18"/>
    <w:qFormat/>
    <w:locked/>
    <w:uiPriority w:val="0"/>
    <w:rPr>
      <w:kern w:val="2"/>
      <w:sz w:val="24"/>
      <w:lang w:bidi="ar-SA"/>
    </w:rPr>
  </w:style>
  <w:style w:type="character" w:customStyle="1" w:styleId="43">
    <w:name w:val="正文文本缩进 2 Char"/>
    <w:link w:val="44"/>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1"/>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qFormat/>
    <w:uiPriority w:val="0"/>
    <w:rPr>
      <w:sz w:val="21"/>
      <w:szCs w:val="21"/>
    </w:rPr>
  </w:style>
  <w:style w:type="character" w:customStyle="1" w:styleId="52">
    <w:name w:val="Footer Char"/>
    <w:qFormat/>
    <w:locked/>
    <w:uiPriority w:val="0"/>
    <w:rPr>
      <w:kern w:val="2"/>
      <w:sz w:val="18"/>
    </w:rPr>
  </w:style>
  <w:style w:type="character" w:customStyle="1" w:styleId="53">
    <w:name w:val="List Paragraph Char"/>
    <w:link w:val="54"/>
    <w:qFormat/>
    <w:locked/>
    <w:uiPriority w:val="0"/>
    <w:rPr>
      <w:rFonts w:eastAsia="宋体"/>
      <w:snapToGrid w:val="0"/>
      <w:kern w:val="2"/>
      <w:sz w:val="24"/>
      <w:szCs w:val="21"/>
      <w:lang w:val="en-US" w:eastAsia="zh-CN" w:bidi="ar-SA"/>
    </w:rPr>
  </w:style>
  <w:style w:type="paragraph" w:customStyle="1" w:styleId="54">
    <w:name w:val="列出段落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qFormat/>
    <w:uiPriority w:val="0"/>
    <w:pPr>
      <w:ind w:firstLine="200" w:firstLineChars="200"/>
    </w:pPr>
    <w:rPr>
      <w:snapToGrid/>
      <w:sz w:val="21"/>
      <w:szCs w:val="20"/>
    </w:rPr>
  </w:style>
  <w:style w:type="character" w:customStyle="1" w:styleId="57">
    <w:name w:val="Header Char"/>
    <w:qFormat/>
    <w:locked/>
    <w:uiPriority w:val="0"/>
    <w:rPr>
      <w:kern w:val="2"/>
      <w:sz w:val="18"/>
    </w:rPr>
  </w:style>
  <w:style w:type="character" w:customStyle="1" w:styleId="58">
    <w:name w:val="Font Style15"/>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qFormat/>
    <w:uiPriority w:val="0"/>
    <w:rPr>
      <w:rFonts w:ascii="Cambria" w:hAnsi="Cambria"/>
      <w:b/>
      <w:sz w:val="32"/>
    </w:rPr>
  </w:style>
  <w:style w:type="character" w:customStyle="1" w:styleId="61">
    <w:name w:val="Title Char"/>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qFormat/>
    <w:uiPriority w:val="0"/>
    <w:pPr>
      <w:spacing w:after="120"/>
      <w:ind w:left="420" w:leftChars="200"/>
    </w:pPr>
    <w:rPr>
      <w:snapToGrid/>
      <w:sz w:val="21"/>
      <w:szCs w:val="22"/>
    </w:rPr>
  </w:style>
  <w:style w:type="character" w:customStyle="1" w:styleId="69">
    <w:name w:val="Char Char"/>
    <w:qFormat/>
    <w:uiPriority w:val="0"/>
    <w:rPr>
      <w:rFonts w:eastAsia="宋体"/>
      <w:kern w:val="2"/>
      <w:sz w:val="18"/>
      <w:lang w:val="en-US" w:eastAsia="zh-CN"/>
    </w:rPr>
  </w:style>
  <w:style w:type="character" w:customStyle="1" w:styleId="70">
    <w:name w:val="表内容 Char"/>
    <w:link w:val="71"/>
    <w:qFormat/>
    <w:locked/>
    <w:uiPriority w:val="0"/>
    <w:rPr>
      <w:rFonts w:ascii="宋体" w:eastAsia="宋体" w:cs="宋体"/>
      <w:sz w:val="18"/>
      <w:szCs w:val="18"/>
      <w:lang w:val="en-US" w:eastAsia="zh-CN" w:bidi="ar-SA"/>
    </w:rPr>
  </w:style>
  <w:style w:type="paragraph" w:customStyle="1" w:styleId="71">
    <w:name w:val="表内容"/>
    <w:basedOn w:val="1"/>
    <w:link w:val="70"/>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qFormat/>
    <w:uiPriority w:val="0"/>
    <w:rPr>
      <w:b/>
      <w:bCs/>
      <w:kern w:val="2"/>
      <w:sz w:val="21"/>
      <w:szCs w:val="22"/>
    </w:rPr>
  </w:style>
  <w:style w:type="paragraph" w:customStyle="1" w:styleId="74">
    <w:name w:val="批注主题1"/>
    <w:basedOn w:val="6"/>
    <w:next w:val="6"/>
    <w:link w:val="73"/>
    <w:qFormat/>
    <w:uiPriority w:val="0"/>
    <w:rPr>
      <w:b/>
      <w:bCs/>
    </w:rPr>
  </w:style>
  <w:style w:type="character" w:customStyle="1" w:styleId="75">
    <w:name w:val="Body Text Indent 2 Char1"/>
    <w:semiHidden/>
    <w:qFormat/>
    <w:uiPriority w:val="0"/>
    <w:rPr>
      <w:sz w:val="24"/>
    </w:rPr>
  </w:style>
  <w:style w:type="character" w:customStyle="1" w:styleId="76">
    <w:name w:val="Comment Text Char"/>
    <w:qFormat/>
    <w:locked/>
    <w:uiPriority w:val="0"/>
    <w:rPr>
      <w:kern w:val="2"/>
      <w:sz w:val="24"/>
    </w:rPr>
  </w:style>
  <w:style w:type="character" w:customStyle="1" w:styleId="77">
    <w:name w:val="15"/>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qFormat/>
    <w:uiPriority w:val="0"/>
    <w:pPr>
      <w:topLinePunct w:val="0"/>
      <w:adjustRightInd/>
      <w:snapToGrid/>
      <w:spacing w:line="240" w:lineRule="auto"/>
      <w:ind w:firstLine="0"/>
    </w:pPr>
    <w:rPr>
      <w:snapToGrid/>
      <w:sz w:val="21"/>
    </w:rPr>
  </w:style>
  <w:style w:type="paragraph" w:customStyle="1" w:styleId="84">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qFormat/>
    <w:uiPriority w:val="0"/>
    <w:pPr>
      <w:widowControl/>
      <w:topLinePunct w:val="0"/>
      <w:adjustRightInd/>
      <w:snapToGrid/>
      <w:spacing w:line="240" w:lineRule="auto"/>
      <w:ind w:firstLine="0"/>
    </w:pPr>
    <w:rPr>
      <w:snapToGrid/>
      <w:kern w:val="0"/>
      <w:sz w:val="21"/>
    </w:rPr>
  </w:style>
  <w:style w:type="paragraph" w:customStyle="1" w:styleId="86">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qFormat/>
    <w:uiPriority w:val="0"/>
    <w:rPr>
      <w:rFonts w:ascii="Tahoma" w:hAnsi="Tahoma"/>
      <w:szCs w:val="20"/>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0">
    <w:name w:val="fontstyle01"/>
    <w:basedOn w:val="21"/>
    <w:qFormat/>
    <w:uiPriority w:val="0"/>
    <w:rPr>
      <w:rFonts w:hint="eastAsia" w:ascii="宋体" w:hAnsi="宋体" w:eastAsia="宋体"/>
      <w:color w:val="000000"/>
      <w:sz w:val="22"/>
      <w:szCs w:val="22"/>
    </w:rPr>
  </w:style>
  <w:style w:type="character" w:customStyle="1" w:styleId="131">
    <w:name w:val="fontstyle11"/>
    <w:basedOn w:val="21"/>
    <w:qFormat/>
    <w:uiPriority w:val="0"/>
    <w:rPr>
      <w:rFonts w:hint="default" w:ascii="TimesNewRoman" w:hAnsi="TimesNew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11B8F-82CE-42D4-9795-2A00EAF8F73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14530</Words>
  <Characters>14751</Characters>
  <Lines>112</Lines>
  <Paragraphs>31</Paragraphs>
  <TotalTime>6</TotalTime>
  <ScaleCrop>false</ScaleCrop>
  <LinksUpToDate>false</LinksUpToDate>
  <CharactersWithSpaces>14806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2023-08-25T06:57:28Z</dcterms:modified>
  <dc:title>中等职业学校计算机网络技术专业教学标准</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C98A03B3DB0B4A93B26E2DDBD8E7822B</vt:lpwstr>
  </property>
</Properties>
</file>