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val="0"/>
        <w:spacing w:line="70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napToGrid w:val="0"/>
        <w:spacing w:line="70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会计事务专业人才培养方案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bookmarkStart w:id="1" w:name="_GoBack"/>
      <w:bookmarkEnd w:id="1"/>
    </w:p>
    <w:p>
      <w:pPr>
        <w:spacing w:line="480" w:lineRule="auto"/>
        <w:rPr>
          <w:rFonts w:ascii="黑体" w:hAnsi="宋体" w:eastAsia="黑体"/>
          <w:sz w:val="52"/>
          <w:szCs w:val="52"/>
        </w:rPr>
      </w:pP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河南省驻马店财经学校</w:t>
      </w: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2024年6月</w:t>
      </w:r>
    </w:p>
    <w:p>
      <w:pPr>
        <w:snapToGrid/>
        <w:spacing w:line="240" w:lineRule="auto"/>
        <w:ind w:firstLine="0"/>
        <w:jc w:val="center"/>
        <w:rPr>
          <w:rFonts w:ascii="黑体" w:hAnsi="宋体" w:eastAsia="黑体"/>
          <w:sz w:val="36"/>
          <w:szCs w:val="36"/>
        </w:rPr>
      </w:pPr>
    </w:p>
    <w:p>
      <w:pPr>
        <w:snapToGrid/>
        <w:spacing w:line="24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jc w:val="center"/>
        <w:rPr>
          <w:rFonts w:ascii="黑体" w:hAnsi="黑体" w:eastAsia="黑体" w:cs="黑体"/>
          <w:sz w:val="32"/>
          <w:szCs w:val="32"/>
        </w:rPr>
      </w:pPr>
      <w:r>
        <w:rPr>
          <w:rFonts w:hint="eastAsia" w:ascii="黑体" w:hAnsi="黑体" w:eastAsia="黑体" w:cs="黑体"/>
          <w:sz w:val="32"/>
          <w:szCs w:val="32"/>
        </w:rPr>
        <w:t>目    录</w:t>
      </w:r>
    </w:p>
    <w:p>
      <w:pPr>
        <w:pStyle w:val="101"/>
        <w:snapToGrid/>
        <w:spacing w:before="0" w:beforeLines="0" w:after="0" w:afterLines="0" w:line="480" w:lineRule="exact"/>
        <w:ind w:firstLine="0"/>
        <w:jc w:val="distribute"/>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 xml:space="preserve">六、课程设置及要求…………………………………………………………………… </w:t>
      </w:r>
      <w:r>
        <w:rPr>
          <w:rFonts w:ascii="Times New Roman" w:hAnsi="Viner Hand ITC" w:eastAsia="黑体"/>
          <w:sz w:val="24"/>
          <w:szCs w:val="24"/>
        </w:rPr>
        <w:t>（</w:t>
      </w:r>
      <w:r>
        <w:rPr>
          <w:rFonts w:hint="eastAsia" w:ascii="Times New Roman" w:hAnsi="Times New Roman" w:eastAsia="黑体"/>
          <w:sz w:val="24"/>
          <w:szCs w:val="24"/>
        </w:rPr>
        <w:t>4</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rPr>
        <w:t>11</w:t>
      </w:r>
      <w:r>
        <w:rPr>
          <w:rFonts w:ascii="Times New Roman" w:hAnsi="Viner Hand ITC"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12</w:t>
      </w:r>
      <w:r>
        <w:rPr>
          <w:rFonts w:ascii="Times New Roman" w:hAnsi="Times New Roman" w:eastAsia="黑体"/>
          <w:sz w:val="24"/>
          <w:szCs w:val="24"/>
        </w:rPr>
        <w:t>）</w:t>
      </w:r>
    </w:p>
    <w:p>
      <w:pPr>
        <w:pStyle w:val="101"/>
        <w:snapToGrid/>
        <w:spacing w:before="0" w:beforeLines="0" w:after="0" w:afterLines="0" w:line="480" w:lineRule="exact"/>
        <w:ind w:firstLine="0"/>
        <w:jc w:val="distribute"/>
        <w:rPr>
          <w:rFonts w:ascii="宋体" w:hAnsi="宋体" w:eastAsia="宋体"/>
          <w:sz w:val="24"/>
          <w:szCs w:val="24"/>
        </w:rPr>
      </w:pPr>
      <w:r>
        <w:rPr>
          <w:rFonts w:hint="eastAsia" w:ascii="宋体" w:hAnsi="宋体" w:eastAsia="宋体"/>
          <w:sz w:val="24"/>
          <w:szCs w:val="24"/>
        </w:rPr>
        <w:t>九、毕业要求……………………………………………………………………………</w:t>
      </w:r>
      <w:r>
        <w:rPr>
          <w:rFonts w:ascii="Times New Roman" w:hAnsi="Viner Hand ITC" w:eastAsia="黑体"/>
          <w:sz w:val="24"/>
          <w:szCs w:val="24"/>
        </w:rPr>
        <w:t>（</w:t>
      </w:r>
      <w:r>
        <w:rPr>
          <w:rFonts w:ascii="Times New Roman" w:hAnsi="Times New Roman" w:eastAsia="黑体"/>
          <w:sz w:val="24"/>
          <w:szCs w:val="24"/>
        </w:rPr>
        <w:t>1</w:t>
      </w:r>
      <w:r>
        <w:rPr>
          <w:rFonts w:hint="eastAsia" w:ascii="Times New Roman" w:hAnsi="Times New Roman" w:eastAsia="黑体"/>
          <w:sz w:val="24"/>
          <w:szCs w:val="24"/>
        </w:rPr>
        <w:t>7</w:t>
      </w:r>
      <w:r>
        <w:rPr>
          <w:rFonts w:ascii="Times New Roman" w:hAnsi="Viner Hand ITC" w:eastAsia="黑体"/>
          <w:sz w:val="24"/>
          <w:szCs w:val="24"/>
        </w:rPr>
        <w:t>）</w:t>
      </w:r>
    </w:p>
    <w:p>
      <w:pPr>
        <w:pStyle w:val="83"/>
        <w:spacing w:before="800" w:beforeLines="200" w:after="800" w:afterLines="200"/>
        <w:rPr>
          <w:u w:val="none"/>
        </w:rPr>
      </w:pPr>
    </w:p>
    <w:p>
      <w:pPr>
        <w:pStyle w:val="83"/>
        <w:spacing w:before="800" w:beforeLines="200" w:after="800" w:afterLines="200"/>
        <w:rPr>
          <w:u w:val="none"/>
        </w:rPr>
      </w:pPr>
    </w:p>
    <w:p>
      <w:pPr>
        <w:pStyle w:val="83"/>
        <w:spacing w:before="800" w:beforeLines="200" w:after="800" w:afterLines="200"/>
        <w:rPr>
          <w:u w:val="none"/>
        </w:rPr>
      </w:pPr>
    </w:p>
    <w:p>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会计事务专业人才培养方案</w:t>
      </w:r>
    </w:p>
    <w:p>
      <w:pPr>
        <w:pStyle w:val="101"/>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专业名称：会计事务</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专业代码：730301</w:t>
      </w:r>
    </w:p>
    <w:p>
      <w:pPr>
        <w:overflowPunct w:val="0"/>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ind w:firstLine="600" w:firstLineChars="200"/>
        <w:rPr>
          <w:rFonts w:eastAsia="黑体"/>
          <w:sz w:val="30"/>
          <w:szCs w:val="30"/>
        </w:rPr>
      </w:pPr>
      <w:r>
        <w:rPr>
          <w:rFonts w:hint="eastAsia" w:ascii="黑体" w:hAnsi="黑体" w:eastAsia="黑体"/>
          <w:sz w:val="30"/>
          <w:szCs w:val="30"/>
        </w:rPr>
        <w:t>四、职业面向</w:t>
      </w:r>
    </w:p>
    <w:tbl>
      <w:tblPr>
        <w:tblStyle w:val="19"/>
        <w:tblpPr w:leftFromText="180" w:rightFromText="180" w:vertAnchor="text" w:horzAnchor="page" w:tblpX="1124" w:tblpY="184"/>
        <w:tblOverlap w:val="never"/>
        <w:tblW w:w="9618" w:type="dxa"/>
        <w:tblInd w:w="0" w:type="dxa"/>
        <w:tblLayout w:type="fixed"/>
        <w:tblCellMar>
          <w:top w:w="0" w:type="dxa"/>
          <w:left w:w="10" w:type="dxa"/>
          <w:bottom w:w="0" w:type="dxa"/>
          <w:right w:w="10" w:type="dxa"/>
        </w:tblCellMar>
      </w:tblPr>
      <w:tblGrid>
        <w:gridCol w:w="666"/>
        <w:gridCol w:w="1985"/>
        <w:gridCol w:w="4308"/>
        <w:gridCol w:w="2659"/>
      </w:tblGrid>
      <w:tr>
        <w:tblPrEx>
          <w:tblCellMar>
            <w:top w:w="0" w:type="dxa"/>
            <w:left w:w="10" w:type="dxa"/>
            <w:bottom w:w="0" w:type="dxa"/>
            <w:right w:w="10" w:type="dxa"/>
          </w:tblCellMar>
        </w:tblPrEx>
        <w:trPr>
          <w:trHeight w:val="718" w:hRule="exact"/>
        </w:trPr>
        <w:tc>
          <w:tcPr>
            <w:tcW w:w="666"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85"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08"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5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3814" w:hRule="exact"/>
        </w:trPr>
        <w:tc>
          <w:tcPr>
            <w:tcW w:w="666"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190" w:lineRule="exact"/>
              <w:ind w:left="260"/>
              <w:jc w:val="both"/>
              <w:rPr>
                <w:rFonts w:ascii="宋体" w:hAnsi="宋体" w:eastAsia="宋体" w:cs="宋体"/>
                <w:color w:val="000000"/>
                <w:spacing w:val="0"/>
                <w:szCs w:val="21"/>
                <w:lang w:val="zh-TW" w:eastAsia="zh-TW" w:bidi="zh-TW"/>
              </w:rPr>
            </w:pPr>
            <w:r>
              <w:rPr>
                <w:rFonts w:hint="eastAsia" w:ascii="宋体" w:hAnsi="宋体" w:eastAsia="宋体" w:cs="宋体"/>
                <w:spacing w:val="0"/>
                <w:sz w:val="21"/>
                <w:szCs w:val="21"/>
              </w:rPr>
              <w:t>1</w:t>
            </w:r>
          </w:p>
        </w:tc>
        <w:tc>
          <w:tcPr>
            <w:tcW w:w="1985"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lang w:val="zh-TW" w:eastAsia="zh-TW"/>
              </w:rPr>
            </w:pPr>
            <w:r>
              <w:rPr>
                <w:rFonts w:hint="eastAsia" w:ascii="仿宋" w:hAnsi="仿宋" w:eastAsia="仿宋" w:cs="仿宋"/>
                <w:spacing w:val="0"/>
                <w:sz w:val="24"/>
                <w:szCs w:val="24"/>
              </w:rPr>
              <w:t>中小企业会计岗位群及会计代理服务</w:t>
            </w:r>
          </w:p>
        </w:tc>
        <w:tc>
          <w:tcPr>
            <w:tcW w:w="4308"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出纳员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成本核算员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会计信息录入员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税费核算员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会计代理</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税务代理</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会计信息录入员</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财经文员</w:t>
            </w:r>
          </w:p>
        </w:tc>
        <w:tc>
          <w:tcPr>
            <w:tcW w:w="265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both"/>
              <w:rPr>
                <w:rFonts w:ascii="仿宋" w:hAnsi="仿宋" w:eastAsia="仿宋" w:cs="仿宋"/>
                <w:spacing w:val="0"/>
                <w:sz w:val="24"/>
                <w:szCs w:val="24"/>
              </w:rPr>
            </w:pP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普通话等级证书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计算机操作员证书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出纳员证书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智能财税证书</w:t>
            </w:r>
          </w:p>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助理会计师证书</w:t>
            </w:r>
          </w:p>
        </w:tc>
      </w:tr>
    </w:tbl>
    <w:p>
      <w:pPr>
        <w:overflowPunct w:val="0"/>
        <w:ind w:firstLine="600" w:firstLineChars="200"/>
        <w:rPr>
          <w:rFonts w:ascii="黑体" w:hAnsi="黑体" w:eastAsia="黑体"/>
          <w:sz w:val="30"/>
          <w:szCs w:val="30"/>
        </w:rPr>
      </w:pPr>
    </w:p>
    <w:p>
      <w:pPr>
        <w:overflowPunct w:val="0"/>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本专业培养德智体美劳全面发展，掌握扎实的科学文化基础和企业经营、会计管理 等知识，具备会计核算与监督、财税咨询与服务、财务数据分析与应用等能力，具有工 匠精神和信息素养，能够从事企业事业单位出纳、会计与财税代理服务、会计信息系统实施等工作的技术技能人才。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本专业毕业生应具有以下职业素养（职业道德和产业文化素养）、专业知识和技能：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（2）具有爱岗敬业、诚实守信、廉洁自律、客观公正、坚持准则、参与管理的会计职业精神；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（3）具有适应会计职业生涯发展、自主学习和继续学习的能力；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（4）具有良好的人际交往、沟通协调能力以及团队合作精神和服务意识；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（5）具有正确的就业意识、良好的创业意识和一定的创新意识；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（6）具有现代公民基本的文化基础知识、科学素养、环境保护意识和健康生活态度；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（7）具有操作现代办公软件的基本能力。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（1）掌握票据法规知识和电子票据处理基本技能， 具有企业主要经济业务票据识别、票据影像化处理以及电子发票开具等票据处理的能力；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（2）掌握资金结算与内控管理知识，具有企业收支业务办理、出纳业务处理和往来资金管理的能力；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（3）掌握企业日常经营活动基本业务流程和会计核算方法，具有主要经济业务会计确认、计量、报告以及实施会计监督的能力；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（4）掌握财税、金融等法律法规知识，具有财税咨询与服务，从事发票开具、票据录入分类整理、代办企业工商登记、企业税务登记及社保等会计事务的能力；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掌握会计信息系统主要功能、应用方法与工作规范，具有办理智能财务全业务流程、业财核算与监督、应用财务机器人进行辅助核算与管理、会计信息系统环境搭建、业务流程与基础数据调查整理、日常运营服务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（6）掌握财务数据分析的基本方法和常用分析工具，具有企业经营数据、财务报表数据分析并对数据分析结果进行可视化呈现的能力；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（7）掌握从事本专业职业活动相关的国家法律及行业规定，掌握环境保护、数据安全、质量管理等相关知识与技能，具有履行社会责任的能力；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（8）爱岗敬业、诚实守信、廉洁自律、坚持准则，具有严谨细致、客观公正的职业精神和强化服务、参与管理的职业意识；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（9）具有终身学习和可持续发展的能力。</w:t>
      </w:r>
    </w:p>
    <w:p>
      <w:pPr>
        <w:overflowPunct w:val="0"/>
        <w:spacing w:line="480" w:lineRule="exac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公共基础课程包括德育课、文化课、体育与健康、公共艺术、历史以及其他自然科学和人文科学类基础课。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专业技能课包括专业核心课和专业（技能）方向课，实习实训是专业技能课教学的重要内容，含校内外实训、顶岗实习等多种形式。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掌握计算机的基础知识及计算机操作系统的基本功能，掌握 Windows的使用方法和 Windows环境下文字录入、文本编辑、排版等操作，以及表格构造、数据计算、幻灯片的制作等，熟练掌握一种汉字输入方法；了解计算机网络及互联网(Internet)的初步知识。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10.艺术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了解人类历史上重要的政治制度、政治事件及其代表人物等基本史实，正确认识历史上的阶级、阶级关系和阶级斗争，认识人类社会发展的基本规律。学会从历史的角度来看待不同政治制度的产生、发展及其历史影响，理解政治变革是社会历史发展多种因素共同作用的结果，并能对此进行科学的评价与解释。理解从专制到民主、从人治到法治是人类社会一个漫长而艰难的历史过程，树立为中外人类政治文明的有益成果，提升民主法治意识，增强个人的公民素养。</w:t>
      </w:r>
    </w:p>
    <w:p>
      <w:pPr>
        <w:spacing w:line="480" w:lineRule="exact"/>
        <w:ind w:firstLine="560" w:firstLineChars="200"/>
        <w:jc w:val="center"/>
        <w:rPr>
          <w:b/>
          <w:sz w:val="28"/>
          <w:szCs w:val="28"/>
        </w:rPr>
      </w:pPr>
      <w:r>
        <w:rPr>
          <w:rFonts w:hint="eastAsia"/>
          <w:b/>
          <w:sz w:val="28"/>
          <w:szCs w:val="28"/>
        </w:rPr>
        <w:t>公共必修课程设置及学时分配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087"/>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2105"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087"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1656"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中国特色社会主义</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心理健康与职业生涯</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哲学与人生</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职业道德与法治</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5</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语文</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6</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数学</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7</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英语</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信息技术</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依据《中等职业学校信息技术课程标准》开设，并注重在职业模块的教学内容中体现专业特色。</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体育与健康</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10</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艺术</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依据《中等职业学校公共艺术课程标准》开设，并与专业实际和行业发展密切结合。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11</w:t>
            </w:r>
          </w:p>
        </w:tc>
        <w:tc>
          <w:tcPr>
            <w:tcW w:w="2105" w:type="dxa"/>
            <w:vAlign w:val="center"/>
          </w:tcPr>
          <w:p>
            <w:pPr>
              <w:pStyle w:val="62"/>
              <w:spacing w:line="300" w:lineRule="atLeast"/>
              <w:rPr>
                <w:rFonts w:ascii="宋体" w:hAnsi="宋体" w:cs="宋体"/>
                <w:sz w:val="21"/>
                <w:szCs w:val="21"/>
              </w:rPr>
            </w:pPr>
            <w:r>
              <w:rPr>
                <w:rFonts w:hint="eastAsia" w:ascii="宋体" w:hAnsi="宋体" w:cs="宋体"/>
                <w:sz w:val="21"/>
                <w:szCs w:val="21"/>
              </w:rPr>
              <w:t>历史</w:t>
            </w:r>
          </w:p>
        </w:tc>
        <w:tc>
          <w:tcPr>
            <w:tcW w:w="5087"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165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bl>
    <w:p>
      <w:pPr>
        <w:spacing w:line="480" w:lineRule="exact"/>
        <w:ind w:firstLine="600" w:firstLineChars="200"/>
        <w:rPr>
          <w:rFonts w:ascii="楷体" w:hAnsi="楷体" w:eastAsia="楷体" w:cs="楷体"/>
          <w:sz w:val="30"/>
          <w:szCs w:val="30"/>
        </w:rPr>
      </w:pP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 会计基础：本课程为必修课，通过教学使学生了解会计工作职责与要求，熟悉会计核算工作程序；领会会计核算对象、会计核算方法体系和基础会计工作规范要求；会识别、填制与审核原始凭证；会运用借贷记账法填制企业主要经济业务记账凭证；会登记主要会计账簿；会编制简单资产负债表和利润表，为后续专业课学习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税收基础：本课程为必修课，通过本课程的学习，学生能够了解税收的含义与特征，了解税收与税法的联系与区别，掌握税收要素和税种分类，掌握税收的职能和原则，为后续学习税务专业课程奠定扎实的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经济法基础：本课程为必修课，通过教学使学生了解会计工作法律法规、制度与职业道德体系；熟悉会计资格考试对财经法规与职业道德的基本要求；能够识记、理解和辨析会计法律法规、支付结算法律制度、税收征管法律法规等主要条款内容，能够通过案例分析，理解财经法规和职业道德规范，树立法律意识、规范意识和诚信公正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电子票据技术应用：电子的票据可以如同实物票据一样进行转让、贴现、质押、托收等。传统票据业务中的各项票据业务的流程均没有改变，只是每一个环节的都加载了电子化处理手段，学习电子票据技术应用可以使学生更好的适应当下的财会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5.出纳与资金管理：本课程为专业核心课，学习出纳与资金管理，可以使学生</w:t>
      </w:r>
      <w:r>
        <w:rPr>
          <w:rFonts w:ascii="仿宋" w:hAnsi="仿宋" w:eastAsia="仿宋" w:cs="仿宋"/>
          <w:sz w:val="30"/>
          <w:szCs w:val="30"/>
        </w:rPr>
        <w:t>完整地掌握现金、银行存款</w:t>
      </w:r>
      <w:r>
        <w:rPr>
          <w:rFonts w:hint="eastAsia" w:ascii="仿宋" w:hAnsi="仿宋" w:eastAsia="仿宋" w:cs="仿宋"/>
          <w:sz w:val="30"/>
          <w:szCs w:val="30"/>
        </w:rPr>
        <w:t>等</w:t>
      </w:r>
      <w:r>
        <w:rPr>
          <w:rFonts w:ascii="仿宋" w:hAnsi="仿宋" w:eastAsia="仿宋" w:cs="仿宋"/>
          <w:sz w:val="30"/>
          <w:szCs w:val="30"/>
        </w:rPr>
        <w:t>收支业务的办理程序</w:t>
      </w:r>
      <w:r>
        <w:rPr>
          <w:rFonts w:hint="eastAsia" w:ascii="仿宋" w:hAnsi="仿宋" w:eastAsia="仿宋" w:cs="仿宋"/>
          <w:sz w:val="30"/>
          <w:szCs w:val="30"/>
        </w:rPr>
        <w:t>，以及</w:t>
      </w:r>
      <w:r>
        <w:fldChar w:fldCharType="begin"/>
      </w:r>
      <w:r>
        <w:instrText xml:space="preserve"> HYPERLINK "https://baike.sogou.com/lemma/ShowInnerLink.htm?lemmaId=430758&amp;ss_c=ssc.citiao.link" \t "https://baike.sogou.com/_blank" </w:instrText>
      </w:r>
      <w:r>
        <w:fldChar w:fldCharType="separate"/>
      </w:r>
      <w:r>
        <w:rPr>
          <w:rFonts w:ascii="仿宋" w:hAnsi="仿宋" w:eastAsia="仿宋" w:cs="仿宋"/>
          <w:sz w:val="30"/>
          <w:szCs w:val="30"/>
        </w:rPr>
        <w:t>现金日记账</w:t>
      </w:r>
      <w:r>
        <w:rPr>
          <w:rFonts w:ascii="仿宋" w:hAnsi="仿宋" w:eastAsia="仿宋" w:cs="仿宋"/>
          <w:sz w:val="30"/>
          <w:szCs w:val="30"/>
        </w:rPr>
        <w:fldChar w:fldCharType="end"/>
      </w:r>
      <w:r>
        <w:rPr>
          <w:rFonts w:ascii="仿宋" w:hAnsi="仿宋" w:eastAsia="仿宋" w:cs="仿宋"/>
          <w:sz w:val="30"/>
          <w:szCs w:val="30"/>
        </w:rPr>
        <w:t>、</w:t>
      </w:r>
      <w:r>
        <w:fldChar w:fldCharType="begin"/>
      </w:r>
      <w:r>
        <w:instrText xml:space="preserve"> HYPERLINK "https://baike.sogou.com/lemma/ShowInnerLink.htm?lemmaId=430764&amp;ss_c=ssc.citiao.link" \t "https://baike.sogou.com/_blank" </w:instrText>
      </w:r>
      <w:r>
        <w:fldChar w:fldCharType="separate"/>
      </w:r>
      <w:r>
        <w:rPr>
          <w:rFonts w:ascii="仿宋" w:hAnsi="仿宋" w:eastAsia="仿宋" w:cs="仿宋"/>
          <w:sz w:val="30"/>
          <w:szCs w:val="30"/>
        </w:rPr>
        <w:t>银行存款日记账</w:t>
      </w:r>
      <w:r>
        <w:rPr>
          <w:rFonts w:ascii="仿宋" w:hAnsi="仿宋" w:eastAsia="仿宋" w:cs="仿宋"/>
          <w:sz w:val="30"/>
          <w:szCs w:val="30"/>
        </w:rPr>
        <w:fldChar w:fldCharType="end"/>
      </w:r>
      <w:r>
        <w:rPr>
          <w:rFonts w:ascii="仿宋" w:hAnsi="仿宋" w:eastAsia="仿宋" w:cs="仿宋"/>
          <w:sz w:val="30"/>
          <w:szCs w:val="30"/>
        </w:rPr>
        <w:t>的登记</w:t>
      </w:r>
      <w:r>
        <w:rPr>
          <w:rFonts w:hint="eastAsia" w:ascii="仿宋" w:hAnsi="仿宋" w:eastAsia="仿宋" w:cs="仿宋"/>
          <w:sz w:val="30"/>
          <w:szCs w:val="30"/>
        </w:rPr>
        <w:t>方法</w:t>
      </w:r>
      <w:r>
        <w:rPr>
          <w:rFonts w:ascii="仿宋" w:hAnsi="仿宋" w:eastAsia="仿宋" w:cs="仿宋"/>
          <w:sz w:val="30"/>
          <w:szCs w:val="30"/>
        </w:rPr>
        <w:t>。</w:t>
      </w:r>
      <w:bookmarkStart w:id="0" w:name="ref_1"/>
      <w:bookmarkEnd w:id="0"/>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企业会计实务：本课程为专业核心课，通过教学使学生了解企业出纳员岗位设置及其工作职责与任务；理解现金及银行结算制度要求；会办理库存现金、银行存款收付与盘点业务；会填制常用的现金结算和银行结算单据；会登记现金日记账和银行存款日记账，掌握现金和银行存款清查方法与工作程序；其要求是了解企业会计岗位设置及其工作职责与任务；理解企业会计事项的确认、计量和计算方法；会填制和审核典型经济业务的原始凭证；会填制小企业经济业务的各种记账凭证；会登记总账及其所属各明细账；会编制资产负债表和利润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税费核算与智能申报：本课程为专业核心课，通过系统的学习，学生可以掌握各税种的计算、核算、申报、缴纳。会增值税的核算与申报、消费税的核算与申报、出口退（免）税的核算与申报、进出口关税的核算与申报、营业税的核算与申报、</w:t>
      </w:r>
      <w:r>
        <w:fldChar w:fldCharType="begin"/>
      </w:r>
      <w:r>
        <w:instrText xml:space="preserve"> HYPERLINK "https://baike.sogou.com/lemma/ShowInnerLink.htm?lemmaId=265311&amp;ss_c=ssc.citiao.link" \t "https://baike.sogou.com/_blank" </w:instrText>
      </w:r>
      <w:r>
        <w:fldChar w:fldCharType="separate"/>
      </w:r>
      <w:r>
        <w:rPr>
          <w:rFonts w:ascii="仿宋" w:hAnsi="仿宋" w:eastAsia="仿宋" w:cs="仿宋"/>
          <w:sz w:val="30"/>
          <w:szCs w:val="30"/>
        </w:rPr>
        <w:t>企业所得税</w:t>
      </w:r>
      <w:r>
        <w:rPr>
          <w:rFonts w:ascii="仿宋" w:hAnsi="仿宋" w:eastAsia="仿宋" w:cs="仿宋"/>
          <w:sz w:val="30"/>
          <w:szCs w:val="30"/>
        </w:rPr>
        <w:fldChar w:fldCharType="end"/>
      </w:r>
      <w:r>
        <w:rPr>
          <w:rFonts w:ascii="仿宋" w:hAnsi="仿宋" w:eastAsia="仿宋" w:cs="仿宋"/>
          <w:sz w:val="30"/>
          <w:szCs w:val="30"/>
        </w:rPr>
        <w:t>的核算与申报、个人所得税的核算与申报、其他税种的核算与申报</w:t>
      </w:r>
      <w:r>
        <w:rPr>
          <w:rFonts w:hint="eastAsia" w:ascii="仿宋" w:hAnsi="仿宋" w:eastAsia="仿宋" w:cs="仿宋"/>
          <w:sz w:val="30"/>
          <w:szCs w:val="30"/>
        </w:rPr>
        <w:t>。</w:t>
      </w:r>
    </w:p>
    <w:p>
      <w:pPr>
        <w:spacing w:line="56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8.成本会计：本课程为核心课，通过教学使学生了解成本费用的基本概念与类型，熟悉企业成本核算基本程序，掌握小企业要素费用归集与分配方法。能熟练运用品种法、分批法、分类法核算小企业成本，了解分步法基本原理，会编制小企业常用成本费用报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会计信息系统应用：本课程为专业核心课，以企业的一般采购、销售、库存业务处理为主线，阐述购销存业务处理及会计核算。按照系统初始设置、日常业务处理、会计事项处理、期末会计处理和会计报表编制的处理顺序，并以工作岗位分工来安排学习内容。通过教学使学生能够熟练运用总账、报表、工资、固定资产和购销存等基本功能模块核算企业的日常经济业务。</w:t>
      </w:r>
    </w:p>
    <w:p>
      <w:pPr>
        <w:spacing w:line="560" w:lineRule="exact"/>
        <w:ind w:firstLine="600" w:firstLineChars="200"/>
        <w:rPr>
          <w:b/>
          <w:sz w:val="28"/>
          <w:szCs w:val="28"/>
        </w:rPr>
      </w:pPr>
      <w:r>
        <w:rPr>
          <w:rFonts w:hint="eastAsia" w:ascii="仿宋" w:hAnsi="仿宋" w:eastAsia="仿宋" w:cs="仿宋"/>
          <w:sz w:val="30"/>
          <w:szCs w:val="30"/>
        </w:rPr>
        <w:t>10.财务数据分析：本课程为专业核心课，学习财务数据分析，可以通过比较企业连续几期的财务报表或财务比率，来了解企业财务状况变化的趋势，并以此来预测企业未来财务状况，判断企业的发展前景。</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943"/>
        <w:gridCol w:w="6632"/>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1943"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632"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548" w:type="dxa"/>
            <w:tcBorders>
              <w:top w:val="single" w:color="auto" w:sz="8" w:space="0"/>
              <w:left w:val="single" w:color="auto" w:sz="4" w:space="0"/>
              <w:bottom w:val="single" w:color="auto" w:sz="8" w:space="0"/>
              <w:right w:val="single" w:color="auto" w:sz="8" w:space="0"/>
            </w:tcBorders>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2" w:type="dxa"/>
            <w:tcBorders>
              <w:top w:val="single" w:color="auto" w:sz="8" w:space="0"/>
              <w:left w:val="single" w:color="auto" w:sz="8" w:space="0"/>
              <w:bottom w:val="single" w:color="auto" w:sz="4" w:space="0"/>
              <w:right w:val="single" w:color="auto" w:sz="4" w:space="0"/>
            </w:tcBorders>
            <w:vAlign w:val="center"/>
          </w:tcPr>
          <w:p>
            <w:pPr>
              <w:pStyle w:val="62"/>
              <w:spacing w:line="300" w:lineRule="atLeast"/>
              <w:jc w:val="center"/>
              <w:rPr>
                <w:rFonts w:eastAsia="方正仿宋简体"/>
                <w:sz w:val="21"/>
                <w:szCs w:val="21"/>
              </w:rPr>
            </w:pPr>
            <w:r>
              <w:rPr>
                <w:rFonts w:hint="eastAsia" w:eastAsia="方正仿宋简体"/>
                <w:sz w:val="21"/>
                <w:szCs w:val="21"/>
              </w:rPr>
              <w:t>1</w:t>
            </w:r>
          </w:p>
        </w:tc>
        <w:tc>
          <w:tcPr>
            <w:tcW w:w="1943"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cs="宋体"/>
                <w:sz w:val="21"/>
                <w:szCs w:val="21"/>
              </w:rPr>
            </w:pPr>
            <w:r>
              <w:rPr>
                <w:rFonts w:hint="eastAsia" w:cs="宋体"/>
                <w:sz w:val="21"/>
                <w:szCs w:val="21"/>
              </w:rPr>
              <w:t>会计基础</w:t>
            </w:r>
          </w:p>
        </w:tc>
        <w:tc>
          <w:tcPr>
            <w:tcW w:w="6632" w:type="dxa"/>
            <w:tcBorders>
              <w:top w:val="single" w:color="auto" w:sz="8" w:space="0"/>
              <w:left w:val="single" w:color="auto" w:sz="4" w:space="0"/>
              <w:bottom w:val="single" w:color="auto" w:sz="4" w:space="0"/>
              <w:right w:val="single" w:color="auto" w:sz="4" w:space="0"/>
            </w:tcBorders>
          </w:tcPr>
          <w:p>
            <w:pPr>
              <w:pStyle w:val="62"/>
              <w:spacing w:line="360" w:lineRule="auto"/>
              <w:jc w:val="left"/>
              <w:rPr>
                <w:sz w:val="21"/>
                <w:szCs w:val="21"/>
              </w:rPr>
            </w:pPr>
            <w:r>
              <w:rPr>
                <w:rFonts w:hint="eastAsia"/>
                <w:sz w:val="21"/>
                <w:szCs w:val="21"/>
              </w:rPr>
              <w:t>了解会计工作职责与要求，熟悉会计核算工作程序；会识别、填制与审核原始凭证；会运用借贷记账法填制企业主要经济业务的记账凭证；会登记会计账簿；会编制企业的资产负债表和利润表。</w:t>
            </w:r>
          </w:p>
        </w:tc>
        <w:tc>
          <w:tcPr>
            <w:tcW w:w="548" w:type="dxa"/>
            <w:tcBorders>
              <w:top w:val="single" w:color="auto" w:sz="8" w:space="0"/>
              <w:left w:val="single" w:color="auto" w:sz="4" w:space="0"/>
              <w:bottom w:val="single" w:color="auto" w:sz="4" w:space="0"/>
              <w:right w:val="single" w:color="auto" w:sz="8" w:space="0"/>
            </w:tcBorders>
            <w:vAlign w:val="center"/>
          </w:tcPr>
          <w:p>
            <w:pPr>
              <w:ind w:firstLine="0"/>
              <w:jc w:val="center"/>
              <w:rPr>
                <w:sz w:val="21"/>
              </w:rPr>
            </w:pPr>
            <w:r>
              <w:rPr>
                <w:rFonts w:hint="eastAsia"/>
                <w:color w:val="000000"/>
                <w:sz w:val="20"/>
                <w:szCs w:val="20"/>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rFonts w:eastAsia="方正仿宋简体"/>
                <w:sz w:val="21"/>
                <w:szCs w:val="21"/>
              </w:rPr>
            </w:pPr>
            <w:r>
              <w:rPr>
                <w:rFonts w:hint="eastAsia" w:eastAsia="方正仿宋简体"/>
                <w:sz w:val="21"/>
                <w:szCs w:val="21"/>
              </w:rPr>
              <w:t>2</w:t>
            </w:r>
          </w:p>
        </w:tc>
        <w:tc>
          <w:tcPr>
            <w:tcW w:w="1943"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cs="宋体"/>
                <w:sz w:val="21"/>
                <w:szCs w:val="21"/>
              </w:rPr>
            </w:pPr>
            <w:r>
              <w:rPr>
                <w:rFonts w:hint="eastAsia" w:cs="宋体"/>
                <w:sz w:val="21"/>
                <w:szCs w:val="21"/>
              </w:rPr>
              <w:t>税收基础</w:t>
            </w:r>
          </w:p>
        </w:tc>
        <w:tc>
          <w:tcPr>
            <w:tcW w:w="6632" w:type="dxa"/>
            <w:tcBorders>
              <w:top w:val="single" w:color="auto" w:sz="8" w:space="0"/>
              <w:left w:val="single" w:color="auto" w:sz="4" w:space="0"/>
              <w:bottom w:val="single" w:color="auto" w:sz="8" w:space="0"/>
              <w:right w:val="single" w:color="auto" w:sz="4" w:space="0"/>
            </w:tcBorders>
          </w:tcPr>
          <w:p>
            <w:pPr>
              <w:spacing w:line="360" w:lineRule="auto"/>
              <w:ind w:firstLine="0"/>
              <w:jc w:val="left"/>
              <w:rPr>
                <w:position w:val="10"/>
                <w:sz w:val="21"/>
              </w:rPr>
            </w:pPr>
            <w:r>
              <w:rPr>
                <w:rFonts w:hint="eastAsia"/>
                <w:position w:val="10"/>
                <w:sz w:val="21"/>
              </w:rPr>
              <w:t>了解税收的含义与特征，了解税收与税法的联系与区别，掌握税收要素和税种分类，掌握税收的职能和原则。</w:t>
            </w:r>
          </w:p>
        </w:tc>
        <w:tc>
          <w:tcPr>
            <w:tcW w:w="548"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sz w:val="21"/>
                <w:szCs w:val="21"/>
              </w:rPr>
            </w:pPr>
            <w:r>
              <w:rPr>
                <w:rFonts w:hint="eastAsia"/>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rFonts w:eastAsia="方正仿宋简体"/>
                <w:sz w:val="21"/>
                <w:szCs w:val="21"/>
              </w:rPr>
            </w:pPr>
            <w:r>
              <w:rPr>
                <w:rFonts w:hint="eastAsia" w:eastAsia="方正仿宋简体"/>
                <w:sz w:val="21"/>
                <w:szCs w:val="21"/>
              </w:rPr>
              <w:t>3</w:t>
            </w:r>
          </w:p>
        </w:tc>
        <w:tc>
          <w:tcPr>
            <w:tcW w:w="1943" w:type="dxa"/>
            <w:tcBorders>
              <w:top w:val="single" w:color="auto" w:sz="8" w:space="0"/>
              <w:left w:val="single" w:color="auto" w:sz="4" w:space="0"/>
              <w:bottom w:val="single" w:color="auto" w:sz="8" w:space="0"/>
              <w:right w:val="single" w:color="auto" w:sz="4" w:space="0"/>
            </w:tcBorders>
            <w:vAlign w:val="center"/>
          </w:tcPr>
          <w:p>
            <w:pPr>
              <w:pStyle w:val="62"/>
              <w:jc w:val="center"/>
              <w:rPr>
                <w:rFonts w:cs="宋体"/>
                <w:sz w:val="21"/>
                <w:szCs w:val="21"/>
              </w:rPr>
            </w:pPr>
            <w:r>
              <w:rPr>
                <w:rFonts w:hint="eastAsia" w:cs="宋体"/>
                <w:sz w:val="21"/>
                <w:szCs w:val="21"/>
              </w:rPr>
              <w:t>经济法基础</w:t>
            </w:r>
          </w:p>
        </w:tc>
        <w:tc>
          <w:tcPr>
            <w:tcW w:w="6632" w:type="dxa"/>
            <w:tcBorders>
              <w:top w:val="single" w:color="auto" w:sz="8" w:space="0"/>
              <w:left w:val="single" w:color="auto" w:sz="4" w:space="0"/>
              <w:bottom w:val="single" w:color="auto" w:sz="8" w:space="0"/>
              <w:right w:val="single" w:color="auto" w:sz="4" w:space="0"/>
            </w:tcBorders>
          </w:tcPr>
          <w:p>
            <w:pPr>
              <w:pStyle w:val="62"/>
              <w:spacing w:line="360" w:lineRule="auto"/>
              <w:jc w:val="left"/>
              <w:rPr>
                <w:sz w:val="21"/>
                <w:szCs w:val="21"/>
              </w:rPr>
            </w:pPr>
            <w:r>
              <w:rPr>
                <w:rFonts w:hint="eastAsia"/>
                <w:sz w:val="21"/>
                <w:szCs w:val="21"/>
              </w:rPr>
              <w:t>能够识记、理解和辨析会计法律法规、支付结算法律制度、税收征管法律法规等主要条款内容，从而树立法律意识、规范意识和诚信公正意识。</w:t>
            </w:r>
          </w:p>
        </w:tc>
        <w:tc>
          <w:tcPr>
            <w:tcW w:w="548" w:type="dxa"/>
            <w:tcBorders>
              <w:top w:val="single" w:color="auto" w:sz="8" w:space="0"/>
              <w:left w:val="single" w:color="auto" w:sz="4" w:space="0"/>
              <w:bottom w:val="single" w:color="auto" w:sz="8" w:space="0"/>
              <w:right w:val="single" w:color="auto" w:sz="8" w:space="0"/>
            </w:tcBorders>
            <w:vAlign w:val="center"/>
          </w:tcPr>
          <w:p>
            <w:pPr>
              <w:pStyle w:val="62"/>
              <w:jc w:val="center"/>
              <w:rPr>
                <w:sz w:val="21"/>
                <w:szCs w:val="21"/>
              </w:rPr>
            </w:pPr>
            <w:r>
              <w:rPr>
                <w:rFonts w:hint="eastAsia"/>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32" w:type="dxa"/>
            <w:tcBorders>
              <w:top w:val="single" w:color="auto" w:sz="8" w:space="0"/>
              <w:left w:val="single" w:color="auto" w:sz="8" w:space="0"/>
              <w:bottom w:val="single" w:color="auto" w:sz="4" w:space="0"/>
              <w:right w:val="single" w:color="auto" w:sz="4" w:space="0"/>
            </w:tcBorders>
            <w:vAlign w:val="center"/>
          </w:tcPr>
          <w:p>
            <w:pPr>
              <w:pStyle w:val="62"/>
              <w:jc w:val="center"/>
              <w:rPr>
                <w:rFonts w:eastAsia="方正仿宋简体"/>
                <w:sz w:val="21"/>
                <w:szCs w:val="21"/>
              </w:rPr>
            </w:pPr>
            <w:r>
              <w:rPr>
                <w:rFonts w:hint="eastAsia" w:eastAsia="方正仿宋简体"/>
                <w:sz w:val="21"/>
                <w:szCs w:val="21"/>
              </w:rPr>
              <w:t>4</w:t>
            </w:r>
          </w:p>
        </w:tc>
        <w:tc>
          <w:tcPr>
            <w:tcW w:w="1943"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cs="宋体"/>
                <w:sz w:val="21"/>
                <w:szCs w:val="21"/>
              </w:rPr>
            </w:pPr>
            <w:r>
              <w:rPr>
                <w:rFonts w:hint="eastAsia" w:cs="宋体"/>
                <w:sz w:val="21"/>
                <w:szCs w:val="21"/>
              </w:rPr>
              <w:t>电子票据技术应用</w:t>
            </w:r>
          </w:p>
        </w:tc>
        <w:tc>
          <w:tcPr>
            <w:tcW w:w="6632" w:type="dxa"/>
            <w:tcBorders>
              <w:top w:val="single" w:color="auto" w:sz="8" w:space="0"/>
              <w:left w:val="single" w:color="auto" w:sz="4" w:space="0"/>
              <w:bottom w:val="single" w:color="auto" w:sz="4" w:space="0"/>
              <w:right w:val="single" w:color="auto" w:sz="4" w:space="0"/>
            </w:tcBorders>
          </w:tcPr>
          <w:p>
            <w:pPr>
              <w:pStyle w:val="62"/>
              <w:spacing w:line="360" w:lineRule="auto"/>
              <w:jc w:val="left"/>
              <w:rPr>
                <w:sz w:val="21"/>
                <w:szCs w:val="21"/>
              </w:rPr>
            </w:pPr>
            <w:r>
              <w:rPr>
                <w:rFonts w:hint="eastAsia"/>
                <w:sz w:val="21"/>
                <w:szCs w:val="21"/>
              </w:rPr>
              <w:t>能够依托网络和计算机技术，接收、登记、转发电子商业汇票数据电文，提供与电子商业汇票货币给付、资金清算行为相关服务。</w:t>
            </w:r>
          </w:p>
        </w:tc>
        <w:tc>
          <w:tcPr>
            <w:tcW w:w="548" w:type="dxa"/>
            <w:tcBorders>
              <w:top w:val="single" w:color="auto" w:sz="8" w:space="0"/>
              <w:left w:val="single" w:color="auto" w:sz="4" w:space="0"/>
              <w:bottom w:val="single" w:color="auto" w:sz="4" w:space="0"/>
              <w:right w:val="single" w:color="auto" w:sz="8" w:space="0"/>
            </w:tcBorders>
            <w:vAlign w:val="center"/>
          </w:tcPr>
          <w:p>
            <w:pPr>
              <w:pStyle w:val="62"/>
              <w:jc w:val="center"/>
              <w:rPr>
                <w:sz w:val="21"/>
                <w:szCs w:val="21"/>
              </w:rPr>
            </w:pPr>
            <w:r>
              <w:rPr>
                <w:rFonts w:hint="eastAsia"/>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32" w:type="dxa"/>
            <w:tcBorders>
              <w:top w:val="single" w:color="auto" w:sz="8" w:space="0"/>
              <w:left w:val="single" w:color="auto" w:sz="8" w:space="0"/>
              <w:bottom w:val="single" w:color="auto" w:sz="4" w:space="0"/>
              <w:right w:val="single" w:color="auto" w:sz="4" w:space="0"/>
            </w:tcBorders>
            <w:vAlign w:val="center"/>
          </w:tcPr>
          <w:p>
            <w:pPr>
              <w:pStyle w:val="62"/>
              <w:jc w:val="center"/>
              <w:rPr>
                <w:rFonts w:eastAsia="方正仿宋简体"/>
                <w:sz w:val="21"/>
                <w:szCs w:val="21"/>
              </w:rPr>
            </w:pPr>
            <w:r>
              <w:rPr>
                <w:rFonts w:hint="eastAsia" w:eastAsia="方正仿宋简体"/>
                <w:sz w:val="21"/>
                <w:szCs w:val="21"/>
              </w:rPr>
              <w:t>5</w:t>
            </w:r>
          </w:p>
        </w:tc>
        <w:tc>
          <w:tcPr>
            <w:tcW w:w="1943"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cs="宋体"/>
                <w:sz w:val="21"/>
                <w:szCs w:val="21"/>
              </w:rPr>
            </w:pPr>
            <w:r>
              <w:rPr>
                <w:rFonts w:hint="eastAsia" w:cs="宋体"/>
                <w:sz w:val="21"/>
                <w:szCs w:val="21"/>
              </w:rPr>
              <w:t>出纳与资金管理</w:t>
            </w:r>
          </w:p>
        </w:tc>
        <w:tc>
          <w:tcPr>
            <w:tcW w:w="6632" w:type="dxa"/>
            <w:tcBorders>
              <w:top w:val="single" w:color="auto" w:sz="8" w:space="0"/>
              <w:left w:val="single" w:color="auto" w:sz="4" w:space="0"/>
              <w:bottom w:val="single" w:color="auto" w:sz="4" w:space="0"/>
              <w:right w:val="single" w:color="auto" w:sz="4" w:space="0"/>
            </w:tcBorders>
          </w:tcPr>
          <w:p>
            <w:pPr>
              <w:spacing w:line="360" w:lineRule="auto"/>
              <w:ind w:firstLine="0"/>
              <w:jc w:val="left"/>
              <w:rPr>
                <w:position w:val="10"/>
                <w:sz w:val="21"/>
              </w:rPr>
            </w:pPr>
            <w:r>
              <w:rPr>
                <w:position w:val="10"/>
                <w:sz w:val="21"/>
              </w:rPr>
              <w:t>掌握现金、银行存款</w:t>
            </w:r>
            <w:r>
              <w:rPr>
                <w:rFonts w:hint="eastAsia"/>
                <w:position w:val="10"/>
                <w:sz w:val="21"/>
              </w:rPr>
              <w:t>等</w:t>
            </w:r>
            <w:r>
              <w:rPr>
                <w:position w:val="10"/>
                <w:sz w:val="21"/>
              </w:rPr>
              <w:t>收支业务的办理程序</w:t>
            </w:r>
            <w:r>
              <w:rPr>
                <w:rFonts w:hint="eastAsia"/>
                <w:position w:val="10"/>
                <w:sz w:val="21"/>
              </w:rPr>
              <w:t>，以及</w:t>
            </w:r>
            <w:r>
              <w:fldChar w:fldCharType="begin"/>
            </w:r>
            <w:r>
              <w:instrText xml:space="preserve"> HYPERLINK "https://baike.sogou.com/lemma/ShowInnerLink.htm?lemmaId=430758&amp;ss_c=ssc.citiao.link" \t "https://baike.sogou.com/_blank" </w:instrText>
            </w:r>
            <w:r>
              <w:fldChar w:fldCharType="separate"/>
            </w:r>
            <w:r>
              <w:rPr>
                <w:position w:val="10"/>
                <w:sz w:val="21"/>
              </w:rPr>
              <w:t>现金日记账</w:t>
            </w:r>
            <w:r>
              <w:rPr>
                <w:position w:val="10"/>
                <w:sz w:val="21"/>
              </w:rPr>
              <w:fldChar w:fldCharType="end"/>
            </w:r>
            <w:r>
              <w:rPr>
                <w:position w:val="10"/>
                <w:sz w:val="21"/>
              </w:rPr>
              <w:t>、</w:t>
            </w:r>
            <w:r>
              <w:fldChar w:fldCharType="begin"/>
            </w:r>
            <w:r>
              <w:instrText xml:space="preserve"> HYPERLINK "https://baike.sogou.com/lemma/ShowInnerLink.htm?lemmaId=430764&amp;ss_c=ssc.citiao.link" \t "https://baike.sogou.com/_blank" </w:instrText>
            </w:r>
            <w:r>
              <w:fldChar w:fldCharType="separate"/>
            </w:r>
            <w:r>
              <w:rPr>
                <w:position w:val="10"/>
                <w:sz w:val="21"/>
              </w:rPr>
              <w:t>银行存款日记账</w:t>
            </w:r>
            <w:r>
              <w:rPr>
                <w:position w:val="10"/>
                <w:sz w:val="21"/>
              </w:rPr>
              <w:fldChar w:fldCharType="end"/>
            </w:r>
            <w:r>
              <w:rPr>
                <w:position w:val="10"/>
                <w:sz w:val="21"/>
              </w:rPr>
              <w:t>的登记</w:t>
            </w:r>
            <w:r>
              <w:rPr>
                <w:rFonts w:hint="eastAsia"/>
                <w:position w:val="10"/>
                <w:sz w:val="21"/>
              </w:rPr>
              <w:t>方法</w:t>
            </w:r>
            <w:r>
              <w:rPr>
                <w:position w:val="10"/>
                <w:sz w:val="21"/>
              </w:rPr>
              <w:t>。</w:t>
            </w:r>
            <w:r>
              <w:rPr>
                <w:rFonts w:hint="eastAsia"/>
                <w:position w:val="10"/>
                <w:sz w:val="21"/>
              </w:rPr>
              <w:t>对企业的资金配置能够进行有效的管理。</w:t>
            </w:r>
          </w:p>
        </w:tc>
        <w:tc>
          <w:tcPr>
            <w:tcW w:w="548" w:type="dxa"/>
            <w:tcBorders>
              <w:top w:val="single" w:color="auto" w:sz="8" w:space="0"/>
              <w:left w:val="single" w:color="auto" w:sz="4" w:space="0"/>
              <w:bottom w:val="single" w:color="auto" w:sz="4" w:space="0"/>
              <w:right w:val="single" w:color="auto" w:sz="8" w:space="0"/>
            </w:tcBorders>
            <w:vAlign w:val="center"/>
          </w:tcPr>
          <w:p>
            <w:pPr>
              <w:pStyle w:val="62"/>
              <w:jc w:val="center"/>
              <w:rPr>
                <w:sz w:val="21"/>
                <w:szCs w:val="21"/>
              </w:rPr>
            </w:pPr>
            <w:r>
              <w:rPr>
                <w:rFonts w:hint="eastAsia"/>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4" w:space="0"/>
              <w:right w:val="single" w:color="auto" w:sz="4" w:space="0"/>
            </w:tcBorders>
            <w:vAlign w:val="center"/>
          </w:tcPr>
          <w:p>
            <w:pPr>
              <w:pStyle w:val="62"/>
              <w:jc w:val="center"/>
              <w:rPr>
                <w:rFonts w:eastAsia="方正仿宋简体"/>
                <w:sz w:val="21"/>
                <w:szCs w:val="21"/>
              </w:rPr>
            </w:pPr>
            <w:r>
              <w:rPr>
                <w:rFonts w:hint="eastAsia" w:eastAsia="方正仿宋简体"/>
                <w:sz w:val="21"/>
                <w:szCs w:val="21"/>
              </w:rPr>
              <w:t>6</w:t>
            </w:r>
          </w:p>
        </w:tc>
        <w:tc>
          <w:tcPr>
            <w:tcW w:w="1943" w:type="dxa"/>
            <w:tcBorders>
              <w:top w:val="single" w:color="auto" w:sz="8" w:space="0"/>
              <w:left w:val="single" w:color="auto" w:sz="4" w:space="0"/>
              <w:bottom w:val="single" w:color="auto" w:sz="4" w:space="0"/>
              <w:right w:val="single" w:color="auto" w:sz="4" w:space="0"/>
            </w:tcBorders>
            <w:vAlign w:val="center"/>
          </w:tcPr>
          <w:p>
            <w:pPr>
              <w:pStyle w:val="62"/>
              <w:spacing w:line="300" w:lineRule="atLeast"/>
              <w:jc w:val="center"/>
              <w:rPr>
                <w:rFonts w:cs="宋体"/>
                <w:sz w:val="21"/>
                <w:szCs w:val="21"/>
              </w:rPr>
            </w:pPr>
            <w:r>
              <w:rPr>
                <w:rFonts w:hint="eastAsia" w:cs="宋体"/>
                <w:sz w:val="21"/>
                <w:szCs w:val="21"/>
              </w:rPr>
              <w:t>企业会计实务</w:t>
            </w:r>
          </w:p>
        </w:tc>
        <w:tc>
          <w:tcPr>
            <w:tcW w:w="6632" w:type="dxa"/>
            <w:tcBorders>
              <w:top w:val="single" w:color="auto" w:sz="8" w:space="0"/>
              <w:left w:val="single" w:color="auto" w:sz="4" w:space="0"/>
              <w:bottom w:val="single" w:color="auto" w:sz="4" w:space="0"/>
              <w:right w:val="single" w:color="auto" w:sz="4" w:space="0"/>
            </w:tcBorders>
          </w:tcPr>
          <w:p>
            <w:pPr>
              <w:spacing w:line="360" w:lineRule="auto"/>
              <w:ind w:firstLine="0"/>
              <w:jc w:val="left"/>
              <w:rPr>
                <w:position w:val="10"/>
                <w:sz w:val="21"/>
              </w:rPr>
            </w:pPr>
            <w:r>
              <w:rPr>
                <w:rFonts w:hint="eastAsia"/>
                <w:position w:val="10"/>
                <w:sz w:val="21"/>
              </w:rPr>
              <w:t>掌握填制原始凭证和各种记账凭证的方法；会登记总账及各明细账；能够编制企业的资产负债表和利润表。</w:t>
            </w:r>
          </w:p>
        </w:tc>
        <w:tc>
          <w:tcPr>
            <w:tcW w:w="548" w:type="dxa"/>
            <w:tcBorders>
              <w:top w:val="single" w:color="auto" w:sz="8" w:space="0"/>
              <w:left w:val="single" w:color="auto" w:sz="4" w:space="0"/>
              <w:bottom w:val="single" w:color="auto" w:sz="4" w:space="0"/>
              <w:right w:val="single" w:color="auto" w:sz="8" w:space="0"/>
            </w:tcBorders>
            <w:vAlign w:val="center"/>
          </w:tcPr>
          <w:p>
            <w:pPr>
              <w:pStyle w:val="62"/>
              <w:jc w:val="center"/>
              <w:rPr>
                <w:sz w:val="21"/>
                <w:szCs w:val="21"/>
              </w:rPr>
            </w:pPr>
            <w:r>
              <w:rPr>
                <w:rFonts w:hint="eastAsia"/>
                <w:sz w:val="21"/>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sz w:val="21"/>
                <w:szCs w:val="21"/>
              </w:rPr>
            </w:pPr>
            <w:r>
              <w:rPr>
                <w:rFonts w:hint="eastAsia"/>
                <w:sz w:val="21"/>
                <w:szCs w:val="21"/>
              </w:rPr>
              <w:t>7</w:t>
            </w:r>
          </w:p>
        </w:tc>
        <w:tc>
          <w:tcPr>
            <w:tcW w:w="1943"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cs="宋体"/>
                <w:sz w:val="21"/>
                <w:szCs w:val="21"/>
              </w:rPr>
            </w:pPr>
            <w:r>
              <w:rPr>
                <w:rFonts w:hint="eastAsia" w:cs="宋体"/>
                <w:sz w:val="21"/>
                <w:szCs w:val="21"/>
              </w:rPr>
              <w:t>税费核算与智能申报</w:t>
            </w:r>
          </w:p>
        </w:tc>
        <w:tc>
          <w:tcPr>
            <w:tcW w:w="6632" w:type="dxa"/>
            <w:tcBorders>
              <w:top w:val="single" w:color="auto" w:sz="8" w:space="0"/>
              <w:left w:val="single" w:color="auto" w:sz="4" w:space="0"/>
              <w:bottom w:val="single" w:color="auto" w:sz="8" w:space="0"/>
              <w:right w:val="single" w:color="auto" w:sz="4" w:space="0"/>
            </w:tcBorders>
          </w:tcPr>
          <w:p>
            <w:pPr>
              <w:pStyle w:val="62"/>
              <w:spacing w:line="360" w:lineRule="auto"/>
              <w:jc w:val="left"/>
              <w:rPr>
                <w:sz w:val="21"/>
                <w:szCs w:val="21"/>
              </w:rPr>
            </w:pPr>
            <w:r>
              <w:rPr>
                <w:rFonts w:hint="eastAsia"/>
                <w:sz w:val="21"/>
                <w:szCs w:val="21"/>
              </w:rPr>
              <w:t>掌握企业各税种的计算，核算，申报，缴纳，筹划的基本方法，进而能够胜任各类企业的涉税岗位工作。</w:t>
            </w:r>
          </w:p>
        </w:tc>
        <w:tc>
          <w:tcPr>
            <w:tcW w:w="548" w:type="dxa"/>
            <w:tcBorders>
              <w:top w:val="single" w:color="auto" w:sz="8" w:space="0"/>
              <w:left w:val="single" w:color="auto" w:sz="4" w:space="0"/>
              <w:bottom w:val="single" w:color="auto" w:sz="8" w:space="0"/>
              <w:right w:val="single" w:color="auto" w:sz="8" w:space="0"/>
            </w:tcBorders>
            <w:vAlign w:val="center"/>
          </w:tcPr>
          <w:p>
            <w:pPr>
              <w:pStyle w:val="62"/>
              <w:jc w:val="center"/>
              <w:rPr>
                <w:sz w:val="21"/>
                <w:szCs w:val="21"/>
              </w:rPr>
            </w:pPr>
            <w:r>
              <w:rPr>
                <w:rFonts w:hint="eastAsia"/>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sz w:val="21"/>
                <w:szCs w:val="21"/>
              </w:rPr>
            </w:pPr>
            <w:r>
              <w:rPr>
                <w:rFonts w:hint="eastAsia"/>
                <w:sz w:val="21"/>
                <w:szCs w:val="21"/>
              </w:rPr>
              <w:t>8</w:t>
            </w:r>
          </w:p>
        </w:tc>
        <w:tc>
          <w:tcPr>
            <w:tcW w:w="1943"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cs="宋体"/>
                <w:sz w:val="21"/>
                <w:szCs w:val="21"/>
              </w:rPr>
            </w:pPr>
            <w:r>
              <w:rPr>
                <w:rFonts w:hint="eastAsia" w:cs="宋体"/>
                <w:sz w:val="21"/>
                <w:szCs w:val="21"/>
              </w:rPr>
              <w:t>成本会计</w:t>
            </w:r>
          </w:p>
        </w:tc>
        <w:tc>
          <w:tcPr>
            <w:tcW w:w="6632" w:type="dxa"/>
            <w:tcBorders>
              <w:top w:val="single" w:color="auto" w:sz="8" w:space="0"/>
              <w:left w:val="single" w:color="auto" w:sz="4" w:space="0"/>
              <w:bottom w:val="single" w:color="auto" w:sz="8" w:space="0"/>
              <w:right w:val="single" w:color="auto" w:sz="4" w:space="0"/>
            </w:tcBorders>
          </w:tcPr>
          <w:p>
            <w:pPr>
              <w:spacing w:line="360" w:lineRule="auto"/>
              <w:ind w:firstLine="0"/>
              <w:jc w:val="left"/>
              <w:rPr>
                <w:position w:val="10"/>
                <w:sz w:val="21"/>
              </w:rPr>
            </w:pPr>
            <w:r>
              <w:rPr>
                <w:rFonts w:hint="eastAsia"/>
                <w:position w:val="10"/>
                <w:sz w:val="21"/>
              </w:rPr>
              <w:t>了解成本费用的基本概念与类型，熟悉企业成本核算基本程序，掌握小企业要素费用归集与分配方法。</w:t>
            </w:r>
          </w:p>
        </w:tc>
        <w:tc>
          <w:tcPr>
            <w:tcW w:w="548" w:type="dxa"/>
            <w:tcBorders>
              <w:top w:val="single" w:color="auto" w:sz="8" w:space="0"/>
              <w:left w:val="single" w:color="auto" w:sz="4" w:space="0"/>
              <w:bottom w:val="single" w:color="auto" w:sz="8" w:space="0"/>
              <w:right w:val="single" w:color="auto" w:sz="8" w:space="0"/>
            </w:tcBorders>
            <w:vAlign w:val="center"/>
          </w:tcPr>
          <w:p>
            <w:pPr>
              <w:pStyle w:val="62"/>
              <w:jc w:val="center"/>
              <w:rPr>
                <w:sz w:val="21"/>
                <w:szCs w:val="21"/>
              </w:rPr>
            </w:pPr>
            <w:r>
              <w:rPr>
                <w:rFonts w:hint="eastAsia"/>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sz w:val="21"/>
                <w:szCs w:val="21"/>
              </w:rPr>
            </w:pPr>
            <w:r>
              <w:rPr>
                <w:rFonts w:hint="eastAsia"/>
                <w:sz w:val="21"/>
                <w:szCs w:val="21"/>
              </w:rPr>
              <w:t>9</w:t>
            </w:r>
          </w:p>
        </w:tc>
        <w:tc>
          <w:tcPr>
            <w:tcW w:w="1943"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cs="宋体"/>
                <w:sz w:val="21"/>
                <w:szCs w:val="21"/>
              </w:rPr>
            </w:pPr>
            <w:r>
              <w:rPr>
                <w:rFonts w:hint="eastAsia" w:cs="宋体"/>
                <w:sz w:val="21"/>
                <w:szCs w:val="21"/>
              </w:rPr>
              <w:t>会计信息系统应用</w:t>
            </w:r>
          </w:p>
        </w:tc>
        <w:tc>
          <w:tcPr>
            <w:tcW w:w="6632" w:type="dxa"/>
            <w:tcBorders>
              <w:top w:val="single" w:color="auto" w:sz="8" w:space="0"/>
              <w:left w:val="single" w:color="auto" w:sz="4" w:space="0"/>
              <w:bottom w:val="single" w:color="auto" w:sz="8" w:space="0"/>
              <w:right w:val="single" w:color="auto" w:sz="4" w:space="0"/>
            </w:tcBorders>
          </w:tcPr>
          <w:p>
            <w:pPr>
              <w:pStyle w:val="62"/>
              <w:spacing w:line="360" w:lineRule="auto"/>
              <w:jc w:val="left"/>
              <w:rPr>
                <w:sz w:val="21"/>
                <w:szCs w:val="21"/>
              </w:rPr>
            </w:pPr>
            <w:r>
              <w:rPr>
                <w:rFonts w:hint="eastAsia"/>
                <w:sz w:val="21"/>
                <w:szCs w:val="21"/>
              </w:rPr>
              <w:t>会实施会计账套管理初始工作；能熟练运用总账、报表、工资、固定资产和购销存等基本功能模块核算企业日常经济业务。</w:t>
            </w:r>
          </w:p>
        </w:tc>
        <w:tc>
          <w:tcPr>
            <w:tcW w:w="548" w:type="dxa"/>
            <w:tcBorders>
              <w:top w:val="single" w:color="auto" w:sz="8" w:space="0"/>
              <w:left w:val="single" w:color="auto" w:sz="4" w:space="0"/>
              <w:bottom w:val="single" w:color="auto" w:sz="8" w:space="0"/>
              <w:right w:val="single" w:color="auto" w:sz="8" w:space="0"/>
            </w:tcBorders>
            <w:vAlign w:val="center"/>
          </w:tcPr>
          <w:p>
            <w:pPr>
              <w:pStyle w:val="62"/>
              <w:jc w:val="center"/>
              <w:rPr>
                <w:sz w:val="21"/>
                <w:szCs w:val="21"/>
              </w:rPr>
            </w:pPr>
            <w:r>
              <w:rPr>
                <w:rFonts w:hint="eastAsia"/>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2" w:type="dxa"/>
            <w:tcBorders>
              <w:top w:val="single" w:color="auto" w:sz="8" w:space="0"/>
              <w:left w:val="single" w:color="auto" w:sz="8" w:space="0"/>
              <w:bottom w:val="single" w:color="auto" w:sz="8" w:space="0"/>
              <w:right w:val="single" w:color="auto" w:sz="4" w:space="0"/>
            </w:tcBorders>
            <w:vAlign w:val="center"/>
          </w:tcPr>
          <w:p>
            <w:pPr>
              <w:pStyle w:val="62"/>
              <w:jc w:val="center"/>
              <w:rPr>
                <w:sz w:val="21"/>
                <w:szCs w:val="21"/>
              </w:rPr>
            </w:pPr>
            <w:r>
              <w:rPr>
                <w:rFonts w:hint="eastAsia"/>
                <w:sz w:val="21"/>
                <w:szCs w:val="21"/>
              </w:rPr>
              <w:t>10</w:t>
            </w:r>
          </w:p>
        </w:tc>
        <w:tc>
          <w:tcPr>
            <w:tcW w:w="1943"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cs="宋体"/>
                <w:sz w:val="21"/>
                <w:szCs w:val="21"/>
              </w:rPr>
            </w:pPr>
            <w:r>
              <w:rPr>
                <w:rFonts w:hint="eastAsia" w:cs="宋体"/>
                <w:sz w:val="21"/>
                <w:szCs w:val="21"/>
              </w:rPr>
              <w:t>财务数据分析</w:t>
            </w:r>
          </w:p>
        </w:tc>
        <w:tc>
          <w:tcPr>
            <w:tcW w:w="6632" w:type="dxa"/>
            <w:tcBorders>
              <w:top w:val="single" w:color="auto" w:sz="8" w:space="0"/>
              <w:left w:val="single" w:color="auto" w:sz="4" w:space="0"/>
              <w:bottom w:val="single" w:color="auto" w:sz="8" w:space="0"/>
              <w:right w:val="single" w:color="auto" w:sz="4" w:space="0"/>
            </w:tcBorders>
          </w:tcPr>
          <w:p>
            <w:pPr>
              <w:spacing w:line="360" w:lineRule="auto"/>
              <w:ind w:firstLine="0"/>
              <w:jc w:val="left"/>
              <w:rPr>
                <w:position w:val="10"/>
                <w:sz w:val="21"/>
              </w:rPr>
            </w:pPr>
            <w:r>
              <w:rPr>
                <w:rFonts w:hint="eastAsia"/>
                <w:position w:val="10"/>
                <w:sz w:val="21"/>
              </w:rPr>
              <w:t>掌握财务数据分析的具体方法，会运用杜邦分析体系等来分析企业的财务状况和经营成果，进而为企业的后续发展提出有效的建议。</w:t>
            </w:r>
          </w:p>
        </w:tc>
        <w:tc>
          <w:tcPr>
            <w:tcW w:w="548" w:type="dxa"/>
            <w:tcBorders>
              <w:top w:val="single" w:color="auto" w:sz="8" w:space="0"/>
              <w:left w:val="single" w:color="auto" w:sz="4" w:space="0"/>
              <w:bottom w:val="single" w:color="auto" w:sz="8" w:space="0"/>
              <w:right w:val="single" w:color="auto" w:sz="8" w:space="0"/>
            </w:tcBorders>
            <w:vAlign w:val="center"/>
          </w:tcPr>
          <w:p>
            <w:pPr>
              <w:pStyle w:val="62"/>
              <w:jc w:val="center"/>
              <w:rPr>
                <w:sz w:val="21"/>
                <w:szCs w:val="21"/>
              </w:rPr>
            </w:pPr>
            <w:r>
              <w:rPr>
                <w:rFonts w:hint="eastAsia"/>
                <w:sz w:val="21"/>
                <w:szCs w:val="21"/>
              </w:rPr>
              <w:t>80</w:t>
            </w:r>
          </w:p>
        </w:tc>
      </w:tr>
    </w:tbl>
    <w:p>
      <w:pPr>
        <w:spacing w:line="480" w:lineRule="exact"/>
        <w:ind w:firstLine="560" w:firstLineChars="200"/>
        <w:jc w:val="center"/>
        <w:rPr>
          <w:b/>
          <w:sz w:val="28"/>
          <w:szCs w:val="28"/>
        </w:rPr>
      </w:pPr>
    </w:p>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每学年为52周，其中教学时间40周（含复习考试），累计假期12周。周学时一般为31学时。顶岗实习按每周40小时（1小时折合1学时）安排。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课程设置中设选修课，其学时数占总学时的比例不少于10%。</w:t>
      </w:r>
    </w:p>
    <w:p>
      <w:pPr>
        <w:numPr>
          <w:ilvl w:val="0"/>
          <w:numId w:val="1"/>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教学进度计划安排表</w:t>
      </w:r>
    </w:p>
    <w:tbl>
      <w:tblPr>
        <w:tblStyle w:val="19"/>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624"/>
        <w:gridCol w:w="1671"/>
        <w:gridCol w:w="714"/>
        <w:gridCol w:w="661"/>
        <w:gridCol w:w="597"/>
        <w:gridCol w:w="498"/>
        <w:gridCol w:w="597"/>
        <w:gridCol w:w="597"/>
        <w:gridCol w:w="597"/>
        <w:gridCol w:w="457"/>
        <w:gridCol w:w="458"/>
        <w:gridCol w:w="897"/>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747" w:type="dxa"/>
            <w:gridSpan w:val="14"/>
            <w:shd w:val="clear" w:color="auto" w:fill="auto"/>
            <w:noWrap/>
            <w:vAlign w:val="center"/>
          </w:tcPr>
          <w:p>
            <w:pPr>
              <w:widowControl/>
              <w:topLinePunct w:val="0"/>
              <w:adjustRightInd/>
              <w:snapToGrid/>
              <w:spacing w:line="240" w:lineRule="auto"/>
              <w:ind w:firstLine="0"/>
              <w:jc w:val="center"/>
              <w:rPr>
                <w:rFonts w:ascii="黑体" w:hAnsi="黑体" w:eastAsia="黑体" w:cs="宋体"/>
                <w:b/>
                <w:bCs/>
                <w:snapToGrid/>
                <w:kern w:val="0"/>
                <w:sz w:val="32"/>
                <w:szCs w:val="32"/>
              </w:rPr>
            </w:pPr>
            <w:r>
              <w:rPr>
                <w:rFonts w:hint="eastAsia" w:ascii="楷体" w:hAnsi="楷体" w:eastAsia="楷体" w:cs="楷体"/>
                <w:sz w:val="30"/>
                <w:szCs w:val="30"/>
              </w:rPr>
              <w:t>会计事务专业教学进程计划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gridSpan w:val="2"/>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专业：</w:t>
            </w:r>
          </w:p>
        </w:tc>
        <w:tc>
          <w:tcPr>
            <w:tcW w:w="1671" w:type="dxa"/>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会计事务</w:t>
            </w:r>
          </w:p>
        </w:tc>
        <w:tc>
          <w:tcPr>
            <w:tcW w:w="1972" w:type="dxa"/>
            <w:gridSpan w:val="3"/>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学制：三年</w:t>
            </w:r>
          </w:p>
        </w:tc>
        <w:tc>
          <w:tcPr>
            <w:tcW w:w="4858" w:type="dxa"/>
            <w:gridSpan w:val="8"/>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起点：初中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2" w:type="dxa"/>
            <w:vMerge w:val="restart"/>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课程模块</w:t>
            </w:r>
          </w:p>
        </w:tc>
        <w:tc>
          <w:tcPr>
            <w:tcW w:w="624" w:type="dxa"/>
            <w:vMerge w:val="restart"/>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序 号</w:t>
            </w:r>
          </w:p>
        </w:tc>
        <w:tc>
          <w:tcPr>
            <w:tcW w:w="1671" w:type="dxa"/>
            <w:vMerge w:val="restart"/>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课程名称</w:t>
            </w:r>
          </w:p>
        </w:tc>
        <w:tc>
          <w:tcPr>
            <w:tcW w:w="714" w:type="dxa"/>
            <w:vMerge w:val="restart"/>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总学时</w:t>
            </w:r>
          </w:p>
        </w:tc>
        <w:tc>
          <w:tcPr>
            <w:tcW w:w="1258" w:type="dxa"/>
            <w:gridSpan w:val="2"/>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学时分配</w:t>
            </w:r>
          </w:p>
        </w:tc>
        <w:tc>
          <w:tcPr>
            <w:tcW w:w="3204" w:type="dxa"/>
            <w:gridSpan w:val="6"/>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各学期学时分配（周学时）</w:t>
            </w:r>
          </w:p>
        </w:tc>
        <w:tc>
          <w:tcPr>
            <w:tcW w:w="897" w:type="dxa"/>
            <w:vMerge w:val="restart"/>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专业核心课（是/否）</w:t>
            </w:r>
          </w:p>
        </w:tc>
        <w:tc>
          <w:tcPr>
            <w:tcW w:w="757" w:type="dxa"/>
            <w:vMerge w:val="restart"/>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考查与考试学期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1671"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14"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661" w:type="dxa"/>
            <w:vMerge w:val="restart"/>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理</w:t>
            </w:r>
          </w:p>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论</w:t>
            </w:r>
          </w:p>
        </w:tc>
        <w:tc>
          <w:tcPr>
            <w:tcW w:w="597" w:type="dxa"/>
            <w:vMerge w:val="restart"/>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实</w:t>
            </w:r>
          </w:p>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践</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一</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二</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三</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四</w:t>
            </w:r>
          </w:p>
        </w:tc>
        <w:tc>
          <w:tcPr>
            <w:tcW w:w="4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五</w:t>
            </w:r>
          </w:p>
        </w:tc>
        <w:tc>
          <w:tcPr>
            <w:tcW w:w="45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六</w:t>
            </w:r>
          </w:p>
        </w:tc>
        <w:tc>
          <w:tcPr>
            <w:tcW w:w="897"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57"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1671"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14"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661"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97"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897"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57" w:type="dxa"/>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restart"/>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公共基础课</w:t>
            </w: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国防教育</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restart"/>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顶岗实习</w:t>
            </w: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军训</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劳动教育</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42</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42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劳动周</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w:t>
            </w:r>
          </w:p>
        </w:tc>
        <w:tc>
          <w:tcPr>
            <w:tcW w:w="1671" w:type="dxa"/>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中国特色社会主义</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1671" w:type="dxa"/>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心理健康与职业生涯</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5</w:t>
            </w:r>
          </w:p>
        </w:tc>
        <w:tc>
          <w:tcPr>
            <w:tcW w:w="1671" w:type="dxa"/>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职业道德与法治</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　</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1671" w:type="dxa"/>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哲学与人生</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7</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语文</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320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320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　</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应用文写作</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9</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数学</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英语</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11</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体育与健康</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历史</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7" w:type="dxa"/>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13</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信息技术</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礼仪</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22" w:type="dxa"/>
            <w:vMerge w:val="continue"/>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15</w:t>
            </w:r>
          </w:p>
        </w:tc>
        <w:tc>
          <w:tcPr>
            <w:tcW w:w="1671" w:type="dxa"/>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书法</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　</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22" w:type="dxa"/>
            <w:vMerge w:val="restart"/>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专业基础课程</w:t>
            </w: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w:t>
            </w:r>
          </w:p>
        </w:tc>
        <w:tc>
          <w:tcPr>
            <w:tcW w:w="1671" w:type="dxa"/>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会计基础</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220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5</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22" w:type="dxa"/>
            <w:vMerge w:val="continue"/>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17</w:t>
            </w:r>
          </w:p>
        </w:tc>
        <w:tc>
          <w:tcPr>
            <w:tcW w:w="1671" w:type="dxa"/>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税收基础</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22" w:type="dxa"/>
            <w:vMerge w:val="continue"/>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18</w:t>
            </w:r>
          </w:p>
        </w:tc>
        <w:tc>
          <w:tcPr>
            <w:tcW w:w="1671" w:type="dxa"/>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经济法基础</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22" w:type="dxa"/>
            <w:vMerge w:val="continue"/>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19</w:t>
            </w:r>
          </w:p>
        </w:tc>
        <w:tc>
          <w:tcPr>
            <w:tcW w:w="1671" w:type="dxa"/>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电子票据技术应用</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22" w:type="dxa"/>
            <w:vMerge w:val="restart"/>
            <w:shd w:val="clear" w:color="auto" w:fill="auto"/>
            <w:textDirection w:val="tbRlV"/>
            <w:vAlign w:val="center"/>
          </w:tcPr>
          <w:p>
            <w:pPr>
              <w:widowControl/>
              <w:topLinePunct w:val="0"/>
              <w:adjustRightInd/>
              <w:snapToGrid/>
              <w:spacing w:line="240" w:lineRule="auto"/>
              <w:ind w:left="113" w:right="113" w:firstLine="0"/>
              <w:jc w:val="left"/>
              <w:rPr>
                <w:rFonts w:ascii="宋体" w:hAnsi="宋体" w:cs="宋体"/>
                <w:snapToGrid/>
                <w:kern w:val="0"/>
                <w:sz w:val="20"/>
                <w:szCs w:val="20"/>
              </w:rPr>
            </w:pPr>
            <w:r>
              <w:rPr>
                <w:rFonts w:hint="eastAsia" w:ascii="宋体" w:hAnsi="宋体" w:cs="宋体"/>
                <w:snapToGrid/>
                <w:kern w:val="0"/>
                <w:sz w:val="20"/>
                <w:szCs w:val="20"/>
              </w:rPr>
              <w:t>专业核心课程</w:t>
            </w: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1671" w:type="dxa"/>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出纳与资金管理</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22" w:type="dxa"/>
            <w:vMerge w:val="continue"/>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21</w:t>
            </w:r>
          </w:p>
        </w:tc>
        <w:tc>
          <w:tcPr>
            <w:tcW w:w="1671" w:type="dxa"/>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企业会计实务</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240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6</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22" w:type="dxa"/>
            <w:vMerge w:val="continue"/>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22</w:t>
            </w:r>
          </w:p>
        </w:tc>
        <w:tc>
          <w:tcPr>
            <w:tcW w:w="1671" w:type="dxa"/>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税费核算与智能申报</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ascii="宋体" w:hAnsi="宋体" w:cs="宋体"/>
                <w:snapToGrid/>
                <w:kern w:val="0"/>
                <w:sz w:val="18"/>
                <w:szCs w:val="18"/>
              </w:rPr>
              <w:t>4</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22" w:type="dxa"/>
            <w:vMerge w:val="continue"/>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23</w:t>
            </w:r>
          </w:p>
        </w:tc>
        <w:tc>
          <w:tcPr>
            <w:tcW w:w="1671" w:type="dxa"/>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成本会计</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22" w:type="dxa"/>
            <w:vMerge w:val="continue"/>
            <w:shd w:val="clear" w:color="auto" w:fill="auto"/>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24</w:t>
            </w:r>
          </w:p>
        </w:tc>
        <w:tc>
          <w:tcPr>
            <w:tcW w:w="1671" w:type="dxa"/>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会计信息系统应用</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915" w:type="dxa"/>
            <w:gridSpan w:val="2"/>
            <w:vMerge w:val="continue"/>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22" w:type="dxa"/>
            <w:vMerge w:val="continue"/>
            <w:shd w:val="clear" w:color="auto" w:fill="auto"/>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p>
        </w:tc>
        <w:tc>
          <w:tcPr>
            <w:tcW w:w="62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25</w:t>
            </w:r>
          </w:p>
        </w:tc>
        <w:tc>
          <w:tcPr>
            <w:tcW w:w="1671" w:type="dxa"/>
            <w:shd w:val="clear" w:color="auto" w:fill="auto"/>
            <w:vAlign w:val="center"/>
          </w:tcPr>
          <w:p>
            <w:pPr>
              <w:spacing w:line="240" w:lineRule="exact"/>
              <w:ind w:firstLine="0"/>
              <w:rPr>
                <w:rFonts w:ascii="宋体" w:hAnsi="宋体" w:cs="宋体"/>
                <w:snapToGrid/>
                <w:kern w:val="0"/>
                <w:sz w:val="18"/>
                <w:szCs w:val="18"/>
              </w:rPr>
            </w:pPr>
            <w:r>
              <w:rPr>
                <w:rFonts w:hint="eastAsia" w:ascii="宋体" w:hAnsi="宋体" w:cs="宋体"/>
                <w:snapToGrid/>
                <w:kern w:val="0"/>
                <w:sz w:val="18"/>
                <w:szCs w:val="18"/>
              </w:rPr>
              <w:t>财务数据分析</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915" w:type="dxa"/>
            <w:gridSpan w:val="2"/>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917" w:type="dxa"/>
            <w:gridSpan w:val="3"/>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总   学  时</w:t>
            </w:r>
          </w:p>
        </w:tc>
        <w:tc>
          <w:tcPr>
            <w:tcW w:w="714"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2642</w:t>
            </w:r>
          </w:p>
        </w:tc>
        <w:tc>
          <w:tcPr>
            <w:tcW w:w="661"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1640</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1002</w:t>
            </w:r>
          </w:p>
        </w:tc>
        <w:tc>
          <w:tcPr>
            <w:tcW w:w="49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31</w:t>
            </w:r>
          </w:p>
        </w:tc>
        <w:tc>
          <w:tcPr>
            <w:tcW w:w="59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31</w:t>
            </w:r>
          </w:p>
        </w:tc>
        <w:tc>
          <w:tcPr>
            <w:tcW w:w="4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458"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897" w:type="dxa"/>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757" w:type="dxa"/>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r>
    </w:tbl>
    <w:p>
      <w:pPr>
        <w:overflowPunct w:val="0"/>
        <w:ind w:firstLine="600" w:firstLineChars="200"/>
        <w:rPr>
          <w:rFonts w:ascii="黑体" w:hAnsi="黑体" w:eastAsia="黑体"/>
          <w:sz w:val="30"/>
          <w:szCs w:val="30"/>
        </w:rPr>
      </w:pPr>
    </w:p>
    <w:p>
      <w:pPr>
        <w:overflowPunct w:val="0"/>
        <w:ind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80%。建立“双师型”专业教师团队，有业务水平较高的专业带头人。教师的基本情况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1.我校会计事务专业具有21位专业教师，专业教师都具有中等职业学校教师任职资格。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2.专任教师队伍中有1名专业带头人，其具有高级讲师和会计师专业技术资格。专业教师与本专业学生数之比为1∶25，具有中级以上职称者为70％，具有高级职称者为37％。</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3.专业设置的课程中的80%以上的授课任务由经过相关专业系统培训、具有中级以上职称和一定实践经验的专职教师担任。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4.根据专业教学需要，聘请行业企业兼职教师22%，兼职专业教师具有本科以上学历和中级以上职称，从事与本专业相关的实践工作3年以上。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5.本专业配备2名实训指导教师，协助主讲教师完成实验实训任务。实训指导教师应具有丰富的实训经验，具有组织教学的能力，具备本专业专科以上学历。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6.专业教师具有良好的师德风尚和终身学习能力，能够按照人社部门和会计主管部门要求，完成教师和会计技术职务继续教育项目。能够每两年参加不少于2个月的企业实习与实践活动。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本专业配备校内实训实习室和校外实训基地。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校内实训实习必须具备会计基本技能实训室、手工会计实训室、会计电算化实训室、财税一体化实训室等主要设施设备及数量见下表。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根据本专业人才培养目标的要求及课程设置的需要，按每班50名学生为基准，校内实验（实训）室配置见下表：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61"/>
        <w:gridCol w:w="294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序序号</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实训室名称</w:t>
            </w:r>
          </w:p>
        </w:tc>
        <w:tc>
          <w:tcPr>
            <w:tcW w:w="5239" w:type="dxa"/>
            <w:gridSpan w:val="2"/>
            <w:vAlign w:val="center"/>
          </w:tcPr>
          <w:p>
            <w:pPr>
              <w:spacing w:line="380" w:lineRule="exact"/>
              <w:jc w:val="center"/>
              <w:rPr>
                <w:rFonts w:cs="宋体"/>
                <w:position w:val="10"/>
                <w:sz w:val="21"/>
              </w:rPr>
            </w:pPr>
            <w:r>
              <w:rPr>
                <w:rFonts w:hint="eastAsia" w:cs="宋体"/>
                <w:position w:val="10"/>
                <w:sz w:val="21"/>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名称</w:t>
            </w:r>
          </w:p>
        </w:tc>
        <w:tc>
          <w:tcPr>
            <w:tcW w:w="2294" w:type="dxa"/>
            <w:vAlign w:val="center"/>
          </w:tcPr>
          <w:p>
            <w:pPr>
              <w:spacing w:line="380" w:lineRule="exact"/>
              <w:ind w:firstLine="0"/>
              <w:jc w:val="center"/>
              <w:rPr>
                <w:rFonts w:cs="宋体"/>
                <w:position w:val="10"/>
                <w:sz w:val="21"/>
              </w:rPr>
            </w:pPr>
            <w:r>
              <w:rPr>
                <w:rFonts w:hint="eastAsia" w:cs="宋体"/>
                <w:position w:val="10"/>
                <w:sz w:val="21"/>
              </w:rPr>
              <w:t>数量（生均台套）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11</w:t>
            </w:r>
          </w:p>
        </w:tc>
        <w:tc>
          <w:tcPr>
            <w:tcW w:w="3261" w:type="dxa"/>
            <w:vMerge w:val="restart"/>
            <w:vAlign w:val="center"/>
          </w:tcPr>
          <w:p>
            <w:pPr>
              <w:spacing w:line="380" w:lineRule="exact"/>
              <w:rPr>
                <w:rFonts w:cs="宋体"/>
                <w:position w:val="10"/>
                <w:sz w:val="21"/>
              </w:rPr>
            </w:pPr>
            <w:r>
              <w:rPr>
                <w:rFonts w:hint="eastAsia" w:cs="宋体"/>
                <w:position w:val="10"/>
                <w:sz w:val="21"/>
              </w:rPr>
              <w:t>会计基本技能实训室</w:t>
            </w:r>
          </w:p>
        </w:tc>
        <w:tc>
          <w:tcPr>
            <w:tcW w:w="2945" w:type="dxa"/>
            <w:vAlign w:val="bottom"/>
          </w:tcPr>
          <w:p>
            <w:pPr>
              <w:spacing w:line="380" w:lineRule="exact"/>
              <w:ind w:firstLine="0"/>
              <w:jc w:val="center"/>
              <w:rPr>
                <w:rFonts w:cs="宋体"/>
                <w:position w:val="10"/>
                <w:sz w:val="21"/>
              </w:rPr>
            </w:pPr>
            <w:r>
              <w:rPr>
                <w:rFonts w:hint="eastAsia" w:cs="宋体"/>
                <w:position w:val="10"/>
                <w:sz w:val="21"/>
              </w:rPr>
              <w:t>练功券</w:t>
            </w:r>
          </w:p>
        </w:tc>
        <w:tc>
          <w:tcPr>
            <w:tcW w:w="2294" w:type="dxa"/>
            <w:vAlign w:val="bottom"/>
          </w:tcPr>
          <w:p>
            <w:pPr>
              <w:spacing w:line="380" w:lineRule="exact"/>
              <w:ind w:firstLine="0"/>
              <w:jc w:val="center"/>
              <w:rPr>
                <w:rFonts w:cs="宋体"/>
                <w:position w:val="10"/>
                <w:sz w:val="21"/>
              </w:rPr>
            </w:pPr>
            <w:r>
              <w:rPr>
                <w:rFonts w:hint="eastAsia" w:cs="宋体"/>
                <w:position w:val="10"/>
                <w:sz w:val="21"/>
              </w:rPr>
              <w:t>20把/人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bottom"/>
          </w:tcPr>
          <w:p>
            <w:pPr>
              <w:spacing w:line="380" w:lineRule="exact"/>
              <w:ind w:firstLine="0"/>
              <w:jc w:val="center"/>
              <w:rPr>
                <w:rFonts w:cs="宋体"/>
                <w:position w:val="10"/>
                <w:sz w:val="21"/>
              </w:rPr>
            </w:pPr>
            <w:r>
              <w:rPr>
                <w:rFonts w:hint="eastAsia" w:cs="宋体"/>
                <w:position w:val="10"/>
                <w:sz w:val="21"/>
              </w:rPr>
              <w:t>扎条</w:t>
            </w:r>
          </w:p>
        </w:tc>
        <w:tc>
          <w:tcPr>
            <w:tcW w:w="2294" w:type="dxa"/>
            <w:vAlign w:val="bottom"/>
          </w:tcPr>
          <w:p>
            <w:pPr>
              <w:spacing w:line="380" w:lineRule="exact"/>
              <w:ind w:firstLine="0"/>
              <w:jc w:val="center"/>
              <w:rPr>
                <w:rFonts w:cs="宋体"/>
                <w:position w:val="10"/>
                <w:sz w:val="21"/>
              </w:rPr>
            </w:pPr>
            <w:r>
              <w:rPr>
                <w:rFonts w:hint="eastAsia" w:cs="宋体"/>
                <w:position w:val="10"/>
                <w:sz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bottom"/>
          </w:tcPr>
          <w:p>
            <w:pPr>
              <w:spacing w:line="380" w:lineRule="exact"/>
              <w:ind w:firstLine="0"/>
              <w:jc w:val="center"/>
              <w:rPr>
                <w:rFonts w:cs="宋体"/>
                <w:position w:val="10"/>
                <w:sz w:val="21"/>
              </w:rPr>
            </w:pPr>
            <w:r>
              <w:rPr>
                <w:rFonts w:hint="eastAsia" w:cs="宋体"/>
                <w:position w:val="10"/>
                <w:sz w:val="21"/>
              </w:rPr>
              <w:t>印章印泥等用具</w:t>
            </w:r>
          </w:p>
        </w:tc>
        <w:tc>
          <w:tcPr>
            <w:tcW w:w="2294" w:type="dxa"/>
            <w:vAlign w:val="bottom"/>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bottom"/>
          </w:tcPr>
          <w:p>
            <w:pPr>
              <w:spacing w:line="380" w:lineRule="exact"/>
              <w:ind w:firstLine="0"/>
              <w:jc w:val="center"/>
              <w:rPr>
                <w:rFonts w:cs="宋体"/>
                <w:position w:val="10"/>
                <w:sz w:val="21"/>
              </w:rPr>
            </w:pPr>
            <w:r>
              <w:rPr>
                <w:rFonts w:hint="eastAsia" w:cs="宋体"/>
                <w:position w:val="10"/>
                <w:sz w:val="21"/>
              </w:rPr>
              <w:t>传票翻打设备</w:t>
            </w:r>
          </w:p>
        </w:tc>
        <w:tc>
          <w:tcPr>
            <w:tcW w:w="2294" w:type="dxa"/>
            <w:vAlign w:val="bottom"/>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桌椅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点验钞机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10人1台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训练题本</w:t>
            </w:r>
          </w:p>
        </w:tc>
        <w:tc>
          <w:tcPr>
            <w:tcW w:w="2294" w:type="dxa"/>
            <w:vAlign w:val="center"/>
          </w:tcPr>
          <w:p>
            <w:pPr>
              <w:spacing w:line="380" w:lineRule="exact"/>
              <w:ind w:firstLine="0"/>
              <w:jc w:val="center"/>
              <w:rPr>
                <w:rFonts w:cs="宋体"/>
                <w:position w:val="10"/>
                <w:sz w:val="21"/>
              </w:rPr>
            </w:pPr>
            <w:r>
              <w:rPr>
                <w:rFonts w:hint="eastAsia" w:cs="宋体"/>
                <w:position w:val="10"/>
                <w:sz w:val="21"/>
              </w:rPr>
              <w:t>1人1本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22</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手工会计实训室</w:t>
            </w: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会计凭证</w:t>
            </w:r>
          </w:p>
        </w:tc>
        <w:tc>
          <w:tcPr>
            <w:tcW w:w="2294" w:type="dxa"/>
            <w:vAlign w:val="center"/>
          </w:tcPr>
          <w:p>
            <w:pPr>
              <w:spacing w:line="380" w:lineRule="exact"/>
              <w:ind w:firstLine="0"/>
              <w:jc w:val="center"/>
              <w:rPr>
                <w:rFonts w:cs="宋体"/>
                <w:position w:val="10"/>
                <w:sz w:val="21"/>
              </w:rPr>
            </w:pPr>
            <w:r>
              <w:rPr>
                <w:rFonts w:hint="eastAsia" w:cs="宋体"/>
                <w:position w:val="10"/>
                <w:sz w:val="21"/>
              </w:rPr>
              <w:t>2本/人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现金日记账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银行存款日记账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总账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各式明细账</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科目汇总表</w:t>
            </w:r>
          </w:p>
        </w:tc>
        <w:tc>
          <w:tcPr>
            <w:tcW w:w="2294" w:type="dxa"/>
            <w:vAlign w:val="center"/>
          </w:tcPr>
          <w:p>
            <w:pPr>
              <w:spacing w:line="380" w:lineRule="exact"/>
              <w:ind w:firstLine="0"/>
              <w:jc w:val="center"/>
              <w:rPr>
                <w:rFonts w:cs="宋体"/>
                <w:position w:val="10"/>
                <w:sz w:val="21"/>
              </w:rPr>
            </w:pPr>
            <w:r>
              <w:rPr>
                <w:rFonts w:hint="eastAsia" w:cs="宋体"/>
                <w:position w:val="10"/>
                <w:sz w:val="21"/>
              </w:rPr>
              <w:t>10页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会计核算印鉴</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手工核算工具</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装订机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手工会计模拟实训软件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实训工作台、椅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会计手工实训资料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33</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会计电算化实训室</w:t>
            </w: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会计核算印鉴</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装订机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会计电算化软件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会计信息化实训资料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用友U8-ERP软件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各种实训资料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8套（7人一组，每组1套）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会计信息化实训资料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投影设备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投影幕布</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企业模拟经营电子沙盘</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企业模拟经营物理沙盘</w:t>
            </w:r>
          </w:p>
        </w:tc>
        <w:tc>
          <w:tcPr>
            <w:tcW w:w="2294" w:type="dxa"/>
            <w:vAlign w:val="center"/>
          </w:tcPr>
          <w:p>
            <w:pPr>
              <w:spacing w:line="380" w:lineRule="exact"/>
              <w:ind w:firstLine="0"/>
              <w:jc w:val="center"/>
              <w:rPr>
                <w:rFonts w:cs="宋体"/>
                <w:position w:val="10"/>
                <w:sz w:val="21"/>
              </w:rPr>
            </w:pPr>
            <w:r>
              <w:rPr>
                <w:rFonts w:hint="eastAsia" w:cs="宋体"/>
                <w:position w:val="10"/>
                <w:sz w:val="21"/>
              </w:rPr>
              <w:t>8人1套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桌</w:t>
            </w:r>
          </w:p>
        </w:tc>
        <w:tc>
          <w:tcPr>
            <w:tcW w:w="2294" w:type="dxa"/>
            <w:vAlign w:val="center"/>
          </w:tcPr>
          <w:p>
            <w:pPr>
              <w:spacing w:line="380" w:lineRule="exact"/>
              <w:ind w:firstLine="0"/>
              <w:jc w:val="center"/>
              <w:rPr>
                <w:rFonts w:cs="宋体"/>
                <w:position w:val="10"/>
                <w:sz w:val="21"/>
              </w:rPr>
            </w:pPr>
            <w:r>
              <w:rPr>
                <w:rFonts w:hint="eastAsia" w:cs="宋体"/>
                <w:position w:val="10"/>
                <w:sz w:val="21"/>
              </w:rPr>
              <w:t>8人1张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企业模拟经营实训资料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380" w:lineRule="exact"/>
              <w:jc w:val="center"/>
              <w:rPr>
                <w:rFonts w:cs="宋体"/>
                <w:position w:val="10"/>
                <w:sz w:val="21"/>
              </w:rPr>
            </w:pPr>
            <w:r>
              <w:rPr>
                <w:rFonts w:hint="eastAsia" w:cs="宋体"/>
                <w:position w:val="10"/>
                <w:sz w:val="21"/>
              </w:rPr>
              <w:t>64</w:t>
            </w:r>
          </w:p>
        </w:tc>
        <w:tc>
          <w:tcPr>
            <w:tcW w:w="3261" w:type="dxa"/>
            <w:vMerge w:val="restart"/>
            <w:vAlign w:val="center"/>
          </w:tcPr>
          <w:p>
            <w:pPr>
              <w:spacing w:line="380" w:lineRule="exact"/>
              <w:ind w:firstLine="0"/>
              <w:jc w:val="center"/>
              <w:rPr>
                <w:rFonts w:cs="宋体"/>
                <w:position w:val="10"/>
                <w:sz w:val="21"/>
              </w:rPr>
            </w:pPr>
            <w:r>
              <w:rPr>
                <w:rFonts w:hint="eastAsia" w:cs="宋体"/>
                <w:position w:val="10"/>
                <w:sz w:val="21"/>
              </w:rPr>
              <w:t>财税一体化实训室</w:t>
            </w:r>
          </w:p>
        </w:tc>
        <w:tc>
          <w:tcPr>
            <w:tcW w:w="2945" w:type="dxa"/>
            <w:vAlign w:val="center"/>
          </w:tcPr>
          <w:p>
            <w:pPr>
              <w:spacing w:line="380" w:lineRule="exact"/>
              <w:ind w:firstLine="0"/>
              <w:jc w:val="center"/>
              <w:rPr>
                <w:rFonts w:cs="宋体"/>
                <w:position w:val="10"/>
                <w:sz w:val="21"/>
              </w:rPr>
            </w:pPr>
            <w:r>
              <w:rPr>
                <w:rFonts w:hint="eastAsia" w:cs="宋体"/>
                <w:position w:val="10"/>
                <w:sz w:val="21"/>
              </w:rPr>
              <w:t>电脑</w:t>
            </w:r>
          </w:p>
        </w:tc>
        <w:tc>
          <w:tcPr>
            <w:tcW w:w="2294" w:type="dxa"/>
            <w:vAlign w:val="center"/>
          </w:tcPr>
          <w:p>
            <w:pPr>
              <w:spacing w:line="380" w:lineRule="exact"/>
              <w:ind w:firstLine="0"/>
              <w:jc w:val="center"/>
              <w:rPr>
                <w:rFonts w:cs="宋体"/>
                <w:position w:val="10"/>
                <w:sz w:val="21"/>
              </w:rPr>
            </w:pPr>
            <w:r>
              <w:rPr>
                <w:rFonts w:hint="eastAsia" w:cs="宋体"/>
                <w:position w:val="10"/>
                <w:sz w:val="21"/>
              </w:rPr>
              <w:t>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多媒体教学设备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工作台、椅</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财税一体化仿真软件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实训资料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服务器及网络设备</w:t>
            </w:r>
          </w:p>
        </w:tc>
        <w:tc>
          <w:tcPr>
            <w:tcW w:w="2294" w:type="dxa"/>
            <w:vAlign w:val="center"/>
          </w:tcPr>
          <w:p>
            <w:pPr>
              <w:spacing w:line="380" w:lineRule="exact"/>
              <w:ind w:firstLine="0"/>
              <w:jc w:val="center"/>
              <w:rPr>
                <w:rFonts w:cs="宋体"/>
                <w:position w:val="10"/>
                <w:sz w:val="21"/>
              </w:rPr>
            </w:pPr>
            <w:r>
              <w:rPr>
                <w:rFonts w:hint="eastAsia"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打印机</w:t>
            </w:r>
          </w:p>
        </w:tc>
        <w:tc>
          <w:tcPr>
            <w:tcW w:w="2294" w:type="dxa"/>
            <w:vAlign w:val="center"/>
          </w:tcPr>
          <w:p>
            <w:pPr>
              <w:spacing w:line="380" w:lineRule="exact"/>
              <w:ind w:firstLine="0"/>
              <w:jc w:val="center"/>
              <w:rPr>
                <w:rFonts w:cs="宋体"/>
                <w:position w:val="10"/>
                <w:sz w:val="21"/>
              </w:rPr>
            </w:pPr>
            <w:r>
              <w:rPr>
                <w:rFonts w:hint="eastAsia" w:cs="宋体"/>
                <w:position w:val="10"/>
                <w:sz w:val="21"/>
              </w:rPr>
              <w:t>3台共用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会计资料</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档案柜</w:t>
            </w:r>
          </w:p>
        </w:tc>
        <w:tc>
          <w:tcPr>
            <w:tcW w:w="2294" w:type="dxa"/>
            <w:vAlign w:val="center"/>
          </w:tcPr>
          <w:p>
            <w:pPr>
              <w:spacing w:line="380" w:lineRule="exact"/>
              <w:ind w:firstLine="0"/>
              <w:jc w:val="center"/>
              <w:rPr>
                <w:rFonts w:cs="宋体"/>
                <w:position w:val="10"/>
                <w:sz w:val="21"/>
              </w:rPr>
            </w:pPr>
            <w:r>
              <w:rPr>
                <w:rFonts w:hint="eastAsia" w:cs="宋体"/>
                <w:position w:val="10"/>
                <w:sz w:val="21"/>
              </w:rPr>
              <w:t>5个共用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会计软件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80" w:lineRule="exact"/>
              <w:jc w:val="center"/>
              <w:rPr>
                <w:rFonts w:cs="宋体"/>
                <w:position w:val="10"/>
                <w:sz w:val="21"/>
              </w:rPr>
            </w:pPr>
          </w:p>
        </w:tc>
        <w:tc>
          <w:tcPr>
            <w:tcW w:w="3261" w:type="dxa"/>
            <w:vMerge w:val="continue"/>
            <w:vAlign w:val="center"/>
          </w:tcPr>
          <w:p>
            <w:pPr>
              <w:spacing w:line="380" w:lineRule="exact"/>
              <w:jc w:val="center"/>
              <w:rPr>
                <w:rFonts w:cs="宋体"/>
                <w:position w:val="10"/>
                <w:sz w:val="21"/>
              </w:rPr>
            </w:pPr>
          </w:p>
        </w:tc>
        <w:tc>
          <w:tcPr>
            <w:tcW w:w="2945" w:type="dxa"/>
            <w:vAlign w:val="center"/>
          </w:tcPr>
          <w:p>
            <w:pPr>
              <w:spacing w:line="380" w:lineRule="exact"/>
              <w:ind w:firstLine="0"/>
              <w:jc w:val="center"/>
              <w:rPr>
                <w:rFonts w:cs="宋体"/>
                <w:position w:val="10"/>
                <w:sz w:val="21"/>
              </w:rPr>
            </w:pPr>
            <w:r>
              <w:rPr>
                <w:rFonts w:hint="eastAsia" w:cs="宋体"/>
                <w:position w:val="10"/>
                <w:sz w:val="21"/>
              </w:rPr>
              <w:t>报税软件</w:t>
            </w:r>
          </w:p>
        </w:tc>
        <w:tc>
          <w:tcPr>
            <w:tcW w:w="2294" w:type="dxa"/>
            <w:vAlign w:val="center"/>
          </w:tcPr>
          <w:p>
            <w:pPr>
              <w:spacing w:line="380" w:lineRule="exact"/>
              <w:ind w:firstLine="0"/>
              <w:jc w:val="center"/>
              <w:rPr>
                <w:rFonts w:cs="宋体"/>
                <w:position w:val="10"/>
                <w:sz w:val="21"/>
              </w:rPr>
            </w:pPr>
            <w:r>
              <w:rPr>
                <w:rFonts w:hint="eastAsia" w:cs="宋体"/>
                <w:position w:val="10"/>
                <w:sz w:val="21"/>
              </w:rPr>
              <w:t>1套</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驻马店市丁伟会计服务公司、驻马店立信财务公司、驻马店汇欣代理记账公司、驻马店金算盘财务公司、驻马领航财务公司等。校外实训基地要能提供真实工作岗位，实现学生顶岗实习，并能最大限度地满足学生最终在实训基地企业就业的目的。</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本专业有5000余种专业图书资料，订有10会计余种专业报刊，并开发和出版社、数字信息公司合作开发有基础会计、财务会计、成本会计、会计电算化、会计模拟实训等课程数字资源。</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本专业培养目标和人才规格要求，遵照学生认知规律、依托教学资源平台，学校应采取“工学结合、理实一体、多维仿真、螺旋上升”的基本教学策略，并实施适当的教学方法。专业技能课按照岗位群的能力要求，强化理论实践一体化，突出“做中学、做中教”的职业教育教学特色。围绕会计核心能力培养，通过基础会计训练、会计手工综合实训、会计电算化综合实训等环节的实施，达到多维仿真实训，螺旋提升能力的目的。对于知识性、理论性教学内容，提倡采用案例教学、对比教学等方法；对于方法、技能性教学内容，提倡采用任务教学、角色扮演、情境教学等方法，利用校内外实训基地，将学生的自主学习、合作学习和教师引导教学等教学组织形式有机结合。</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1．注重职业道德教育，构建学生、老师、家长、企业、社会广泛参与的学生多元主体德育评价体系。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2．以过程性评价为主体，将学生日常学习态度、学习表现、知识技能运用规范纳入课程成绩评价范围，形成日常学业评价为主、期末考试为辅的过程性学业评价体系。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3．以职业资格鉴定基础，将学业考核与职业资格鉴定相结合，允许用职业资格证书替代一定专业课程成绩或学分。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4．以行业、企业评价标准为依据，形成学校与企业专家共同参与学生企业顶岗实习环节的评价机制，切实加强和实化学生顶岗实习教学内容要求。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学校制定有实施性教学计划。结合我校实际，教学计划确立会计服务（中小企业会计）为专业（技能）方向，同时根据学生就业方向选择一定数量的专业技能选修课。课时规划上可视学生程度、师资队伍状况、社会需要及本校实习实训设备情况每学年进行修订，酌量增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顶岗实习原则上应累计达到半年，包括基于校内实训基地开展的综合实训和校外企业顶岗实习。顶岗实习之前，学校安排一定时数的校内综合实训。实施企业顶岗实习，与企联合制订的实习计划和明确的评价要求，学校加强实习学生的日常跟踪管理，为学生办理企业顶岗实习期间的意外伤害保险。</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3.学校在本专业开展订单培养时，应保证必修公共基础课和专业核心课的教学，在此基础上可根据合作企业要求将订单特设课程作为专业方向课程实施。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4.教师实施课程教学，要由学校组织教师设计相关教学方案，明确课程实施的教学目标、教学内容、教学方法、学习方法与组织方式、资源保障要求与质量评价要求。</w:t>
      </w:r>
    </w:p>
    <w:p>
      <w:pPr>
        <w:overflowPunct w:val="0"/>
        <w:ind w:firstLine="600" w:firstLineChars="200"/>
        <w:rPr>
          <w:rFonts w:ascii="黑体" w:hAnsi="黑体" w:eastAsia="黑体"/>
          <w:sz w:val="30"/>
          <w:szCs w:val="30"/>
        </w:rPr>
      </w:pP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通过三年培养，本专业毕业生应具备以下各项素质、知识和技能：</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（一）素质结构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1．具有良好的思想政治素质、行为规范、职业道德和遵纪守法精神。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2．具有全局观念和良好的团队精神、协调能力、组织能力和管理能力。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3．具有健康的体魄和良好的心理素质。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（二）基础理论知识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1．掌握本专业所必须的外语、计算机、财经应用文写作等基础文化知识。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2．掌握经济学、管理学等专业基础知识。</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（三）专门知识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1．掌握财务会计、成本会计、会计电算化、税法、税务会计、财务管理、审计等专业知识。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2．掌握本专业所需要的经济法规、统计学等相关知识。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3．熟练运用各种财务软件进行会计日常核算。</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（四）通识技能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1.掌握本专业所必须的马克思主义哲学、法律等基础文化知识。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2.掌握专业写作的基础知识，具有本专业所需的语言组织及文字表达能力。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3.掌握相关计算机的应用知识，具有在本专业中熟练运用计算机的能力。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4.掌握必须的英语知识，具有一般的阅读与翻译本专业英文资料的能力。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5.掌握必须的职业礼仪知识，具有胜任工作所必须的社交能力。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（五）专业技能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1.掌握财务会计的基本理论知识，具有从事会计核算和进行财务管理的能力。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2.掌握税法的基本理论和知识，具有从事税收实务的能力。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3.熟悉国家财经法规，适应市场发展的需要，具有本专业持续发展的能力。</w:t>
      </w:r>
    </w:p>
    <w:p>
      <w:pPr>
        <w:spacing w:line="560" w:lineRule="exact"/>
        <w:ind w:firstLine="600" w:firstLineChars="200"/>
        <w:rPr>
          <w:rFonts w:ascii="仿宋" w:hAnsi="仿宋" w:eastAsia="仿宋" w:cs="仿宋"/>
          <w:sz w:val="30"/>
          <w:szCs w:val="30"/>
        </w:rPr>
      </w:pPr>
    </w:p>
    <w:sectPr>
      <w:footerReference r:id="rId9" w:type="default"/>
      <w:footerReference r:id="rId10" w:type="even"/>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方正舒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right="165"/>
      <w:jc w:val="right"/>
      <w:rPr>
        <w:rFonts w:eastAsia="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4</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4</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310C5"/>
    <w:multiLevelType w:val="singleLevel"/>
    <w:tmpl w:val="1AD310C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5402"/>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593"/>
    <w:rsid w:val="00040759"/>
    <w:rsid w:val="00041696"/>
    <w:rsid w:val="00042D33"/>
    <w:rsid w:val="00043A44"/>
    <w:rsid w:val="00044EF7"/>
    <w:rsid w:val="00045C9C"/>
    <w:rsid w:val="0004722E"/>
    <w:rsid w:val="0005082E"/>
    <w:rsid w:val="00051182"/>
    <w:rsid w:val="00051289"/>
    <w:rsid w:val="00053442"/>
    <w:rsid w:val="000569B7"/>
    <w:rsid w:val="00060BC7"/>
    <w:rsid w:val="00061A0E"/>
    <w:rsid w:val="000628FE"/>
    <w:rsid w:val="00063862"/>
    <w:rsid w:val="00064535"/>
    <w:rsid w:val="00064666"/>
    <w:rsid w:val="00065B65"/>
    <w:rsid w:val="00067071"/>
    <w:rsid w:val="00072FAA"/>
    <w:rsid w:val="0007485C"/>
    <w:rsid w:val="00075954"/>
    <w:rsid w:val="00076076"/>
    <w:rsid w:val="00076DD7"/>
    <w:rsid w:val="00076F4F"/>
    <w:rsid w:val="000771AC"/>
    <w:rsid w:val="000811ED"/>
    <w:rsid w:val="00081371"/>
    <w:rsid w:val="000830E4"/>
    <w:rsid w:val="00084BAE"/>
    <w:rsid w:val="00085547"/>
    <w:rsid w:val="00087EA8"/>
    <w:rsid w:val="00087F80"/>
    <w:rsid w:val="0009010F"/>
    <w:rsid w:val="00093CCE"/>
    <w:rsid w:val="00093FEF"/>
    <w:rsid w:val="00094F33"/>
    <w:rsid w:val="00096074"/>
    <w:rsid w:val="00097B0E"/>
    <w:rsid w:val="000A0635"/>
    <w:rsid w:val="000A21A4"/>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6C3E"/>
    <w:rsid w:val="000F74B8"/>
    <w:rsid w:val="00101960"/>
    <w:rsid w:val="00102A1C"/>
    <w:rsid w:val="00103417"/>
    <w:rsid w:val="001042BC"/>
    <w:rsid w:val="00107BE5"/>
    <w:rsid w:val="001102D8"/>
    <w:rsid w:val="001127F4"/>
    <w:rsid w:val="001145AA"/>
    <w:rsid w:val="001164BC"/>
    <w:rsid w:val="00116E77"/>
    <w:rsid w:val="001253CD"/>
    <w:rsid w:val="00130398"/>
    <w:rsid w:val="0013124D"/>
    <w:rsid w:val="001314D2"/>
    <w:rsid w:val="00131C78"/>
    <w:rsid w:val="00133CF7"/>
    <w:rsid w:val="00133DCB"/>
    <w:rsid w:val="00134F6D"/>
    <w:rsid w:val="00144EEE"/>
    <w:rsid w:val="0014750E"/>
    <w:rsid w:val="00150283"/>
    <w:rsid w:val="0015037C"/>
    <w:rsid w:val="001523D8"/>
    <w:rsid w:val="00162BE5"/>
    <w:rsid w:val="0016367C"/>
    <w:rsid w:val="00166A22"/>
    <w:rsid w:val="00167331"/>
    <w:rsid w:val="0017257E"/>
    <w:rsid w:val="00172A27"/>
    <w:rsid w:val="00173E38"/>
    <w:rsid w:val="00175B64"/>
    <w:rsid w:val="00175BB7"/>
    <w:rsid w:val="001765C1"/>
    <w:rsid w:val="001810D6"/>
    <w:rsid w:val="001959F1"/>
    <w:rsid w:val="001966CC"/>
    <w:rsid w:val="001972DB"/>
    <w:rsid w:val="001A021C"/>
    <w:rsid w:val="001A2A25"/>
    <w:rsid w:val="001A3379"/>
    <w:rsid w:val="001A7446"/>
    <w:rsid w:val="001B4498"/>
    <w:rsid w:val="001C0390"/>
    <w:rsid w:val="001C13A0"/>
    <w:rsid w:val="001C30B8"/>
    <w:rsid w:val="001D0244"/>
    <w:rsid w:val="001D2A55"/>
    <w:rsid w:val="001D46F0"/>
    <w:rsid w:val="001D4F18"/>
    <w:rsid w:val="001E330B"/>
    <w:rsid w:val="001E57CC"/>
    <w:rsid w:val="001E7B08"/>
    <w:rsid w:val="001F0304"/>
    <w:rsid w:val="001F0F54"/>
    <w:rsid w:val="001F3E7F"/>
    <w:rsid w:val="001F55BF"/>
    <w:rsid w:val="00217DB2"/>
    <w:rsid w:val="0022094D"/>
    <w:rsid w:val="00220CE0"/>
    <w:rsid w:val="00222E96"/>
    <w:rsid w:val="00223190"/>
    <w:rsid w:val="00223274"/>
    <w:rsid w:val="00227257"/>
    <w:rsid w:val="00227AF3"/>
    <w:rsid w:val="00231F71"/>
    <w:rsid w:val="002321A4"/>
    <w:rsid w:val="00232EC3"/>
    <w:rsid w:val="00235C47"/>
    <w:rsid w:val="00235E1F"/>
    <w:rsid w:val="0023608E"/>
    <w:rsid w:val="00236441"/>
    <w:rsid w:val="00237993"/>
    <w:rsid w:val="00237EDE"/>
    <w:rsid w:val="0024155E"/>
    <w:rsid w:val="00241D5E"/>
    <w:rsid w:val="0024344F"/>
    <w:rsid w:val="0024483F"/>
    <w:rsid w:val="00244A6E"/>
    <w:rsid w:val="002500BD"/>
    <w:rsid w:val="00250DC3"/>
    <w:rsid w:val="002512E4"/>
    <w:rsid w:val="0025268F"/>
    <w:rsid w:val="002529EB"/>
    <w:rsid w:val="00253C9E"/>
    <w:rsid w:val="00253E13"/>
    <w:rsid w:val="00255E9A"/>
    <w:rsid w:val="00257BA9"/>
    <w:rsid w:val="002639DB"/>
    <w:rsid w:val="00264B03"/>
    <w:rsid w:val="00266000"/>
    <w:rsid w:val="002700C0"/>
    <w:rsid w:val="00270865"/>
    <w:rsid w:val="00273C7E"/>
    <w:rsid w:val="002742B3"/>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22CF"/>
    <w:rsid w:val="002B4F8D"/>
    <w:rsid w:val="002C327D"/>
    <w:rsid w:val="002C37FF"/>
    <w:rsid w:val="002C3C25"/>
    <w:rsid w:val="002C5A8C"/>
    <w:rsid w:val="002C7BAC"/>
    <w:rsid w:val="002C7D80"/>
    <w:rsid w:val="002D0EBA"/>
    <w:rsid w:val="002D10BD"/>
    <w:rsid w:val="002E28CE"/>
    <w:rsid w:val="002E2B8E"/>
    <w:rsid w:val="002E59F8"/>
    <w:rsid w:val="002E74AE"/>
    <w:rsid w:val="002F2897"/>
    <w:rsid w:val="002F2D60"/>
    <w:rsid w:val="002F5DFB"/>
    <w:rsid w:val="002F6120"/>
    <w:rsid w:val="002F6644"/>
    <w:rsid w:val="0030139C"/>
    <w:rsid w:val="00302827"/>
    <w:rsid w:val="00303DB0"/>
    <w:rsid w:val="00303DE5"/>
    <w:rsid w:val="0030526C"/>
    <w:rsid w:val="003059E7"/>
    <w:rsid w:val="00305F84"/>
    <w:rsid w:val="003104CE"/>
    <w:rsid w:val="0031239D"/>
    <w:rsid w:val="00313D82"/>
    <w:rsid w:val="00313E9C"/>
    <w:rsid w:val="00316DAB"/>
    <w:rsid w:val="00322728"/>
    <w:rsid w:val="003233A5"/>
    <w:rsid w:val="00325ACE"/>
    <w:rsid w:val="00326004"/>
    <w:rsid w:val="003264DA"/>
    <w:rsid w:val="003308E8"/>
    <w:rsid w:val="00330FED"/>
    <w:rsid w:val="00336834"/>
    <w:rsid w:val="00337075"/>
    <w:rsid w:val="00337347"/>
    <w:rsid w:val="00341432"/>
    <w:rsid w:val="003419AE"/>
    <w:rsid w:val="00343556"/>
    <w:rsid w:val="00344A8E"/>
    <w:rsid w:val="00347682"/>
    <w:rsid w:val="00347AB9"/>
    <w:rsid w:val="00351F7E"/>
    <w:rsid w:val="00354148"/>
    <w:rsid w:val="003560B6"/>
    <w:rsid w:val="00356A13"/>
    <w:rsid w:val="003577A2"/>
    <w:rsid w:val="003626DF"/>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1B79"/>
    <w:rsid w:val="00395516"/>
    <w:rsid w:val="003969C1"/>
    <w:rsid w:val="003A151C"/>
    <w:rsid w:val="003A1848"/>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60AE"/>
    <w:rsid w:val="003F0E6F"/>
    <w:rsid w:val="003F0F4C"/>
    <w:rsid w:val="003F2E83"/>
    <w:rsid w:val="00400F2B"/>
    <w:rsid w:val="00401330"/>
    <w:rsid w:val="00402810"/>
    <w:rsid w:val="00402A90"/>
    <w:rsid w:val="00405B63"/>
    <w:rsid w:val="004065E9"/>
    <w:rsid w:val="00407E42"/>
    <w:rsid w:val="00412D54"/>
    <w:rsid w:val="00413814"/>
    <w:rsid w:val="0041397B"/>
    <w:rsid w:val="0041403E"/>
    <w:rsid w:val="0042053C"/>
    <w:rsid w:val="00421E3F"/>
    <w:rsid w:val="00421FCE"/>
    <w:rsid w:val="00422023"/>
    <w:rsid w:val="004272E3"/>
    <w:rsid w:val="00427A29"/>
    <w:rsid w:val="0043012C"/>
    <w:rsid w:val="004330F9"/>
    <w:rsid w:val="0043357C"/>
    <w:rsid w:val="00433F0D"/>
    <w:rsid w:val="004360EB"/>
    <w:rsid w:val="0044051E"/>
    <w:rsid w:val="00440DA5"/>
    <w:rsid w:val="00443C92"/>
    <w:rsid w:val="00445885"/>
    <w:rsid w:val="004468E2"/>
    <w:rsid w:val="00452319"/>
    <w:rsid w:val="00454102"/>
    <w:rsid w:val="00454786"/>
    <w:rsid w:val="00457900"/>
    <w:rsid w:val="00460E30"/>
    <w:rsid w:val="00470145"/>
    <w:rsid w:val="00470543"/>
    <w:rsid w:val="004723EA"/>
    <w:rsid w:val="0047262B"/>
    <w:rsid w:val="00472EC9"/>
    <w:rsid w:val="00480E92"/>
    <w:rsid w:val="004819D5"/>
    <w:rsid w:val="00482A61"/>
    <w:rsid w:val="00484779"/>
    <w:rsid w:val="00486618"/>
    <w:rsid w:val="004907B6"/>
    <w:rsid w:val="00490D12"/>
    <w:rsid w:val="00490DA9"/>
    <w:rsid w:val="00492032"/>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6E77"/>
    <w:rsid w:val="004E6D5B"/>
    <w:rsid w:val="004E761D"/>
    <w:rsid w:val="004F021D"/>
    <w:rsid w:val="004F0429"/>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32D6"/>
    <w:rsid w:val="00535C58"/>
    <w:rsid w:val="00541DE3"/>
    <w:rsid w:val="00544F4B"/>
    <w:rsid w:val="00545878"/>
    <w:rsid w:val="00545EA8"/>
    <w:rsid w:val="00546094"/>
    <w:rsid w:val="00546A47"/>
    <w:rsid w:val="005508C2"/>
    <w:rsid w:val="00550D1B"/>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A90"/>
    <w:rsid w:val="005B5CFD"/>
    <w:rsid w:val="005B67C6"/>
    <w:rsid w:val="005C0616"/>
    <w:rsid w:val="005C125A"/>
    <w:rsid w:val="005C32E1"/>
    <w:rsid w:val="005C5203"/>
    <w:rsid w:val="005C798E"/>
    <w:rsid w:val="005D0B09"/>
    <w:rsid w:val="005D1CB7"/>
    <w:rsid w:val="005D2A90"/>
    <w:rsid w:val="005D3614"/>
    <w:rsid w:val="005D3FB3"/>
    <w:rsid w:val="005D48E6"/>
    <w:rsid w:val="005D5680"/>
    <w:rsid w:val="005D637E"/>
    <w:rsid w:val="005E1280"/>
    <w:rsid w:val="005E1AF7"/>
    <w:rsid w:val="005E2FCE"/>
    <w:rsid w:val="005E2FFD"/>
    <w:rsid w:val="005E4010"/>
    <w:rsid w:val="005E50B7"/>
    <w:rsid w:val="005E5E1B"/>
    <w:rsid w:val="005E64E4"/>
    <w:rsid w:val="005F4BA2"/>
    <w:rsid w:val="005F5716"/>
    <w:rsid w:val="005F5ACD"/>
    <w:rsid w:val="005F62A0"/>
    <w:rsid w:val="005F6930"/>
    <w:rsid w:val="005F7D84"/>
    <w:rsid w:val="00606C83"/>
    <w:rsid w:val="006071B8"/>
    <w:rsid w:val="00607FCC"/>
    <w:rsid w:val="006106B6"/>
    <w:rsid w:val="00616E92"/>
    <w:rsid w:val="00617129"/>
    <w:rsid w:val="006213CB"/>
    <w:rsid w:val="0062344A"/>
    <w:rsid w:val="0062481B"/>
    <w:rsid w:val="0062672C"/>
    <w:rsid w:val="0062719B"/>
    <w:rsid w:val="00627E45"/>
    <w:rsid w:val="006340B7"/>
    <w:rsid w:val="00636928"/>
    <w:rsid w:val="006407D0"/>
    <w:rsid w:val="00640EAD"/>
    <w:rsid w:val="006413B1"/>
    <w:rsid w:val="00642AF9"/>
    <w:rsid w:val="00644659"/>
    <w:rsid w:val="00644F9D"/>
    <w:rsid w:val="0064576E"/>
    <w:rsid w:val="00646ADD"/>
    <w:rsid w:val="00647116"/>
    <w:rsid w:val="006471A5"/>
    <w:rsid w:val="00647416"/>
    <w:rsid w:val="00647EA2"/>
    <w:rsid w:val="00655717"/>
    <w:rsid w:val="006559A1"/>
    <w:rsid w:val="00655C20"/>
    <w:rsid w:val="00660770"/>
    <w:rsid w:val="00660A4D"/>
    <w:rsid w:val="006616F2"/>
    <w:rsid w:val="00662462"/>
    <w:rsid w:val="00664438"/>
    <w:rsid w:val="006657F9"/>
    <w:rsid w:val="006722D5"/>
    <w:rsid w:val="00673BD9"/>
    <w:rsid w:val="006746BF"/>
    <w:rsid w:val="006824A8"/>
    <w:rsid w:val="006855D0"/>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264"/>
    <w:rsid w:val="007309BA"/>
    <w:rsid w:val="0073494A"/>
    <w:rsid w:val="00736842"/>
    <w:rsid w:val="00741059"/>
    <w:rsid w:val="007423EB"/>
    <w:rsid w:val="00742716"/>
    <w:rsid w:val="00742DEF"/>
    <w:rsid w:val="007437C1"/>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521"/>
    <w:rsid w:val="0076375E"/>
    <w:rsid w:val="00763BB9"/>
    <w:rsid w:val="007643E2"/>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97874"/>
    <w:rsid w:val="007A3406"/>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5EB6"/>
    <w:rsid w:val="008170B6"/>
    <w:rsid w:val="008179DF"/>
    <w:rsid w:val="00817E96"/>
    <w:rsid w:val="0082255A"/>
    <w:rsid w:val="00822BA1"/>
    <w:rsid w:val="00824041"/>
    <w:rsid w:val="00826191"/>
    <w:rsid w:val="008268A9"/>
    <w:rsid w:val="008279F3"/>
    <w:rsid w:val="00827B9B"/>
    <w:rsid w:val="00827EEC"/>
    <w:rsid w:val="008311C8"/>
    <w:rsid w:val="0084115E"/>
    <w:rsid w:val="00841819"/>
    <w:rsid w:val="00844C90"/>
    <w:rsid w:val="00845FCA"/>
    <w:rsid w:val="00847C35"/>
    <w:rsid w:val="008512E0"/>
    <w:rsid w:val="00851327"/>
    <w:rsid w:val="008523F4"/>
    <w:rsid w:val="0085604E"/>
    <w:rsid w:val="00860355"/>
    <w:rsid w:val="008632C2"/>
    <w:rsid w:val="0086651E"/>
    <w:rsid w:val="0087121D"/>
    <w:rsid w:val="00871A4A"/>
    <w:rsid w:val="008733E2"/>
    <w:rsid w:val="00873F22"/>
    <w:rsid w:val="00874370"/>
    <w:rsid w:val="0087580B"/>
    <w:rsid w:val="00876C08"/>
    <w:rsid w:val="00882604"/>
    <w:rsid w:val="00882FF3"/>
    <w:rsid w:val="0088371E"/>
    <w:rsid w:val="00894F6E"/>
    <w:rsid w:val="00895F18"/>
    <w:rsid w:val="00897436"/>
    <w:rsid w:val="0089773A"/>
    <w:rsid w:val="008A0505"/>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7A7"/>
    <w:rsid w:val="008F1DE1"/>
    <w:rsid w:val="008F2339"/>
    <w:rsid w:val="008F2CAA"/>
    <w:rsid w:val="008F3A83"/>
    <w:rsid w:val="009034C4"/>
    <w:rsid w:val="00910FFE"/>
    <w:rsid w:val="00912456"/>
    <w:rsid w:val="00912716"/>
    <w:rsid w:val="00916F34"/>
    <w:rsid w:val="009176FC"/>
    <w:rsid w:val="0091793D"/>
    <w:rsid w:val="00920821"/>
    <w:rsid w:val="00920FAB"/>
    <w:rsid w:val="009266BE"/>
    <w:rsid w:val="009325F9"/>
    <w:rsid w:val="00933B14"/>
    <w:rsid w:val="00934EB6"/>
    <w:rsid w:val="00941FFB"/>
    <w:rsid w:val="0094235F"/>
    <w:rsid w:val="00942C02"/>
    <w:rsid w:val="00944236"/>
    <w:rsid w:val="009443F3"/>
    <w:rsid w:val="00946541"/>
    <w:rsid w:val="00946CAA"/>
    <w:rsid w:val="009470A5"/>
    <w:rsid w:val="00950D4F"/>
    <w:rsid w:val="0095496D"/>
    <w:rsid w:val="00954E2F"/>
    <w:rsid w:val="00962FCB"/>
    <w:rsid w:val="00967C0B"/>
    <w:rsid w:val="0097581C"/>
    <w:rsid w:val="00976D6E"/>
    <w:rsid w:val="00982FEF"/>
    <w:rsid w:val="00986F65"/>
    <w:rsid w:val="009871A0"/>
    <w:rsid w:val="009875A2"/>
    <w:rsid w:val="00993456"/>
    <w:rsid w:val="00993A05"/>
    <w:rsid w:val="00993E98"/>
    <w:rsid w:val="00997688"/>
    <w:rsid w:val="00997E18"/>
    <w:rsid w:val="009A17CF"/>
    <w:rsid w:val="009A27EB"/>
    <w:rsid w:val="009A4085"/>
    <w:rsid w:val="009A665E"/>
    <w:rsid w:val="009A7B74"/>
    <w:rsid w:val="009B2ABC"/>
    <w:rsid w:val="009B784A"/>
    <w:rsid w:val="009B7C99"/>
    <w:rsid w:val="009C0164"/>
    <w:rsid w:val="009C0299"/>
    <w:rsid w:val="009C0621"/>
    <w:rsid w:val="009C1544"/>
    <w:rsid w:val="009C2385"/>
    <w:rsid w:val="009C48E6"/>
    <w:rsid w:val="009C732F"/>
    <w:rsid w:val="009D2271"/>
    <w:rsid w:val="009D4282"/>
    <w:rsid w:val="009D465E"/>
    <w:rsid w:val="009D741C"/>
    <w:rsid w:val="009E260A"/>
    <w:rsid w:val="009E3E3E"/>
    <w:rsid w:val="009E584A"/>
    <w:rsid w:val="009E7902"/>
    <w:rsid w:val="009F40CE"/>
    <w:rsid w:val="009F536F"/>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12D7"/>
    <w:rsid w:val="00A233E8"/>
    <w:rsid w:val="00A23CAD"/>
    <w:rsid w:val="00A339D3"/>
    <w:rsid w:val="00A34D7E"/>
    <w:rsid w:val="00A4001A"/>
    <w:rsid w:val="00A41135"/>
    <w:rsid w:val="00A41A29"/>
    <w:rsid w:val="00A450D8"/>
    <w:rsid w:val="00A4564B"/>
    <w:rsid w:val="00A47212"/>
    <w:rsid w:val="00A51B12"/>
    <w:rsid w:val="00A5221F"/>
    <w:rsid w:val="00A523F1"/>
    <w:rsid w:val="00A566B6"/>
    <w:rsid w:val="00A62C42"/>
    <w:rsid w:val="00A65450"/>
    <w:rsid w:val="00A65FE3"/>
    <w:rsid w:val="00A70CF2"/>
    <w:rsid w:val="00A7451E"/>
    <w:rsid w:val="00A757A0"/>
    <w:rsid w:val="00A7616C"/>
    <w:rsid w:val="00A777E5"/>
    <w:rsid w:val="00A8159D"/>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02EF"/>
    <w:rsid w:val="00AC363D"/>
    <w:rsid w:val="00AC3671"/>
    <w:rsid w:val="00AC4450"/>
    <w:rsid w:val="00AC486B"/>
    <w:rsid w:val="00AC60E2"/>
    <w:rsid w:val="00AD10C2"/>
    <w:rsid w:val="00AD1E76"/>
    <w:rsid w:val="00AD1FAC"/>
    <w:rsid w:val="00AD3A89"/>
    <w:rsid w:val="00AD5AE0"/>
    <w:rsid w:val="00AD6365"/>
    <w:rsid w:val="00AD6B41"/>
    <w:rsid w:val="00AE0756"/>
    <w:rsid w:val="00AE34FA"/>
    <w:rsid w:val="00AE5B67"/>
    <w:rsid w:val="00AF0141"/>
    <w:rsid w:val="00AF064A"/>
    <w:rsid w:val="00AF24EA"/>
    <w:rsid w:val="00AF272B"/>
    <w:rsid w:val="00AF3074"/>
    <w:rsid w:val="00AF4CD2"/>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9B5"/>
    <w:rsid w:val="00B42E72"/>
    <w:rsid w:val="00B44AB6"/>
    <w:rsid w:val="00B4541C"/>
    <w:rsid w:val="00B45F3A"/>
    <w:rsid w:val="00B4634F"/>
    <w:rsid w:val="00B468F1"/>
    <w:rsid w:val="00B47449"/>
    <w:rsid w:val="00B511CD"/>
    <w:rsid w:val="00B538D2"/>
    <w:rsid w:val="00B56405"/>
    <w:rsid w:val="00B56537"/>
    <w:rsid w:val="00B6612B"/>
    <w:rsid w:val="00B70292"/>
    <w:rsid w:val="00B71D80"/>
    <w:rsid w:val="00B73740"/>
    <w:rsid w:val="00B74EB0"/>
    <w:rsid w:val="00B75423"/>
    <w:rsid w:val="00B7749E"/>
    <w:rsid w:val="00B77960"/>
    <w:rsid w:val="00B80B0F"/>
    <w:rsid w:val="00B85B0C"/>
    <w:rsid w:val="00B87494"/>
    <w:rsid w:val="00B87540"/>
    <w:rsid w:val="00B879A9"/>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C7539"/>
    <w:rsid w:val="00BD1A74"/>
    <w:rsid w:val="00BD267A"/>
    <w:rsid w:val="00BD340B"/>
    <w:rsid w:val="00BD3427"/>
    <w:rsid w:val="00BE0710"/>
    <w:rsid w:val="00BE0C73"/>
    <w:rsid w:val="00BE1084"/>
    <w:rsid w:val="00BE1A27"/>
    <w:rsid w:val="00BE3414"/>
    <w:rsid w:val="00BE5D96"/>
    <w:rsid w:val="00BE7995"/>
    <w:rsid w:val="00BF1B1B"/>
    <w:rsid w:val="00BF1D8D"/>
    <w:rsid w:val="00BF2329"/>
    <w:rsid w:val="00BF3505"/>
    <w:rsid w:val="00BF5E53"/>
    <w:rsid w:val="00BF6115"/>
    <w:rsid w:val="00BF7CDE"/>
    <w:rsid w:val="00C0374B"/>
    <w:rsid w:val="00C03909"/>
    <w:rsid w:val="00C039E0"/>
    <w:rsid w:val="00C03E88"/>
    <w:rsid w:val="00C05D00"/>
    <w:rsid w:val="00C06097"/>
    <w:rsid w:val="00C06403"/>
    <w:rsid w:val="00C0641B"/>
    <w:rsid w:val="00C06592"/>
    <w:rsid w:val="00C07E77"/>
    <w:rsid w:val="00C10166"/>
    <w:rsid w:val="00C108F5"/>
    <w:rsid w:val="00C133D1"/>
    <w:rsid w:val="00C1405C"/>
    <w:rsid w:val="00C14E8F"/>
    <w:rsid w:val="00C15D5D"/>
    <w:rsid w:val="00C16080"/>
    <w:rsid w:val="00C16534"/>
    <w:rsid w:val="00C17052"/>
    <w:rsid w:val="00C17291"/>
    <w:rsid w:val="00C20A59"/>
    <w:rsid w:val="00C2176D"/>
    <w:rsid w:val="00C24AF2"/>
    <w:rsid w:val="00C24DAF"/>
    <w:rsid w:val="00C25112"/>
    <w:rsid w:val="00C25B71"/>
    <w:rsid w:val="00C26369"/>
    <w:rsid w:val="00C31CFF"/>
    <w:rsid w:val="00C35B86"/>
    <w:rsid w:val="00C367F4"/>
    <w:rsid w:val="00C36E2B"/>
    <w:rsid w:val="00C41737"/>
    <w:rsid w:val="00C41D29"/>
    <w:rsid w:val="00C446A0"/>
    <w:rsid w:val="00C4522A"/>
    <w:rsid w:val="00C4685A"/>
    <w:rsid w:val="00C472E7"/>
    <w:rsid w:val="00C475FB"/>
    <w:rsid w:val="00C51B45"/>
    <w:rsid w:val="00C57408"/>
    <w:rsid w:val="00C63EBA"/>
    <w:rsid w:val="00C64EAA"/>
    <w:rsid w:val="00C654D9"/>
    <w:rsid w:val="00C658B1"/>
    <w:rsid w:val="00C679AD"/>
    <w:rsid w:val="00C7041D"/>
    <w:rsid w:val="00C740CA"/>
    <w:rsid w:val="00C76493"/>
    <w:rsid w:val="00C81F47"/>
    <w:rsid w:val="00C822C9"/>
    <w:rsid w:val="00C82A41"/>
    <w:rsid w:val="00C82ACD"/>
    <w:rsid w:val="00C83B96"/>
    <w:rsid w:val="00C84254"/>
    <w:rsid w:val="00C90BC4"/>
    <w:rsid w:val="00C93075"/>
    <w:rsid w:val="00C942CD"/>
    <w:rsid w:val="00C96B4E"/>
    <w:rsid w:val="00CA1A7F"/>
    <w:rsid w:val="00CA2C38"/>
    <w:rsid w:val="00CB0CF9"/>
    <w:rsid w:val="00CB16C7"/>
    <w:rsid w:val="00CB1763"/>
    <w:rsid w:val="00CC11F9"/>
    <w:rsid w:val="00CC17BA"/>
    <w:rsid w:val="00CC1FD0"/>
    <w:rsid w:val="00CC2C5E"/>
    <w:rsid w:val="00CC3287"/>
    <w:rsid w:val="00CC4816"/>
    <w:rsid w:val="00CC5116"/>
    <w:rsid w:val="00CC7C53"/>
    <w:rsid w:val="00CD0ACE"/>
    <w:rsid w:val="00CD120A"/>
    <w:rsid w:val="00CD32C3"/>
    <w:rsid w:val="00CE19DE"/>
    <w:rsid w:val="00CF0C3D"/>
    <w:rsid w:val="00CF28AE"/>
    <w:rsid w:val="00CF437C"/>
    <w:rsid w:val="00CF6D83"/>
    <w:rsid w:val="00CF70A7"/>
    <w:rsid w:val="00D02134"/>
    <w:rsid w:val="00D03E02"/>
    <w:rsid w:val="00D042B5"/>
    <w:rsid w:val="00D04D85"/>
    <w:rsid w:val="00D05273"/>
    <w:rsid w:val="00D05A09"/>
    <w:rsid w:val="00D104A5"/>
    <w:rsid w:val="00D10ECA"/>
    <w:rsid w:val="00D1511E"/>
    <w:rsid w:val="00D1564D"/>
    <w:rsid w:val="00D222A7"/>
    <w:rsid w:val="00D2270C"/>
    <w:rsid w:val="00D247D2"/>
    <w:rsid w:val="00D25D33"/>
    <w:rsid w:val="00D261F0"/>
    <w:rsid w:val="00D27983"/>
    <w:rsid w:val="00D308CB"/>
    <w:rsid w:val="00D31893"/>
    <w:rsid w:val="00D31C6B"/>
    <w:rsid w:val="00D321FC"/>
    <w:rsid w:val="00D35E68"/>
    <w:rsid w:val="00D36ADF"/>
    <w:rsid w:val="00D44E27"/>
    <w:rsid w:val="00D46BEA"/>
    <w:rsid w:val="00D479F7"/>
    <w:rsid w:val="00D50A18"/>
    <w:rsid w:val="00D53CF3"/>
    <w:rsid w:val="00D624A1"/>
    <w:rsid w:val="00D65D02"/>
    <w:rsid w:val="00D6685C"/>
    <w:rsid w:val="00D67AFD"/>
    <w:rsid w:val="00D73EC3"/>
    <w:rsid w:val="00D76268"/>
    <w:rsid w:val="00D77566"/>
    <w:rsid w:val="00D7777E"/>
    <w:rsid w:val="00D80ED9"/>
    <w:rsid w:val="00D81B22"/>
    <w:rsid w:val="00D81C6D"/>
    <w:rsid w:val="00D85459"/>
    <w:rsid w:val="00D918C7"/>
    <w:rsid w:val="00D91F74"/>
    <w:rsid w:val="00D92049"/>
    <w:rsid w:val="00D92253"/>
    <w:rsid w:val="00D93749"/>
    <w:rsid w:val="00D9581A"/>
    <w:rsid w:val="00D96D0D"/>
    <w:rsid w:val="00DA2274"/>
    <w:rsid w:val="00DA6FE6"/>
    <w:rsid w:val="00DA70B9"/>
    <w:rsid w:val="00DB0251"/>
    <w:rsid w:val="00DC237A"/>
    <w:rsid w:val="00DC3175"/>
    <w:rsid w:val="00DC5A95"/>
    <w:rsid w:val="00DD25CB"/>
    <w:rsid w:val="00DD2B04"/>
    <w:rsid w:val="00DD3CA7"/>
    <w:rsid w:val="00DD463A"/>
    <w:rsid w:val="00DD7AA9"/>
    <w:rsid w:val="00DE0A34"/>
    <w:rsid w:val="00DE1DAC"/>
    <w:rsid w:val="00DE5B9C"/>
    <w:rsid w:val="00DF2148"/>
    <w:rsid w:val="00DF3B2C"/>
    <w:rsid w:val="00DF4B46"/>
    <w:rsid w:val="00DF4F49"/>
    <w:rsid w:val="00E00E81"/>
    <w:rsid w:val="00E02A67"/>
    <w:rsid w:val="00E070AB"/>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4E38"/>
    <w:rsid w:val="00E45BE5"/>
    <w:rsid w:val="00E46AA6"/>
    <w:rsid w:val="00E506D9"/>
    <w:rsid w:val="00E50C06"/>
    <w:rsid w:val="00E53638"/>
    <w:rsid w:val="00E63FA3"/>
    <w:rsid w:val="00E661F4"/>
    <w:rsid w:val="00E6634A"/>
    <w:rsid w:val="00E67FAB"/>
    <w:rsid w:val="00E705EF"/>
    <w:rsid w:val="00E70714"/>
    <w:rsid w:val="00E80375"/>
    <w:rsid w:val="00E81D78"/>
    <w:rsid w:val="00E82BDD"/>
    <w:rsid w:val="00E84A2C"/>
    <w:rsid w:val="00E93728"/>
    <w:rsid w:val="00E97929"/>
    <w:rsid w:val="00EA199F"/>
    <w:rsid w:val="00EA201E"/>
    <w:rsid w:val="00EA2FC5"/>
    <w:rsid w:val="00EA3AAE"/>
    <w:rsid w:val="00EA461D"/>
    <w:rsid w:val="00EA664D"/>
    <w:rsid w:val="00EA6E61"/>
    <w:rsid w:val="00EA7782"/>
    <w:rsid w:val="00EA7CF1"/>
    <w:rsid w:val="00EB6119"/>
    <w:rsid w:val="00EC1395"/>
    <w:rsid w:val="00EC434B"/>
    <w:rsid w:val="00EC6F55"/>
    <w:rsid w:val="00EC7DFE"/>
    <w:rsid w:val="00ED0796"/>
    <w:rsid w:val="00ED2EF6"/>
    <w:rsid w:val="00ED362A"/>
    <w:rsid w:val="00ED36DD"/>
    <w:rsid w:val="00ED4222"/>
    <w:rsid w:val="00ED5EF3"/>
    <w:rsid w:val="00EE26FB"/>
    <w:rsid w:val="00EE3BCD"/>
    <w:rsid w:val="00EF2B78"/>
    <w:rsid w:val="00EF4332"/>
    <w:rsid w:val="00EF6001"/>
    <w:rsid w:val="00EF7677"/>
    <w:rsid w:val="00F01D66"/>
    <w:rsid w:val="00F031CE"/>
    <w:rsid w:val="00F03208"/>
    <w:rsid w:val="00F06D65"/>
    <w:rsid w:val="00F10F74"/>
    <w:rsid w:val="00F137BB"/>
    <w:rsid w:val="00F155B5"/>
    <w:rsid w:val="00F15E19"/>
    <w:rsid w:val="00F178B4"/>
    <w:rsid w:val="00F17D48"/>
    <w:rsid w:val="00F20496"/>
    <w:rsid w:val="00F27BD5"/>
    <w:rsid w:val="00F37C40"/>
    <w:rsid w:val="00F40C17"/>
    <w:rsid w:val="00F43860"/>
    <w:rsid w:val="00F44BAD"/>
    <w:rsid w:val="00F45969"/>
    <w:rsid w:val="00F5127C"/>
    <w:rsid w:val="00F5237E"/>
    <w:rsid w:val="00F5385B"/>
    <w:rsid w:val="00F53D16"/>
    <w:rsid w:val="00F54157"/>
    <w:rsid w:val="00F5655C"/>
    <w:rsid w:val="00F60C67"/>
    <w:rsid w:val="00F6260E"/>
    <w:rsid w:val="00F64CBA"/>
    <w:rsid w:val="00F726CC"/>
    <w:rsid w:val="00F72729"/>
    <w:rsid w:val="00F72E55"/>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47C"/>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22A4754"/>
    <w:rsid w:val="023B0973"/>
    <w:rsid w:val="03E766F4"/>
    <w:rsid w:val="042305AC"/>
    <w:rsid w:val="04BB7ED2"/>
    <w:rsid w:val="0586171E"/>
    <w:rsid w:val="0595389B"/>
    <w:rsid w:val="06D10259"/>
    <w:rsid w:val="071D5765"/>
    <w:rsid w:val="07235BE6"/>
    <w:rsid w:val="0843749E"/>
    <w:rsid w:val="090624B6"/>
    <w:rsid w:val="0AA00DA0"/>
    <w:rsid w:val="0AF85654"/>
    <w:rsid w:val="0D2F21E6"/>
    <w:rsid w:val="0D4F7F9C"/>
    <w:rsid w:val="0E1108AC"/>
    <w:rsid w:val="0E224237"/>
    <w:rsid w:val="0E423199"/>
    <w:rsid w:val="0EE7610B"/>
    <w:rsid w:val="0F5509B0"/>
    <w:rsid w:val="0F670FFA"/>
    <w:rsid w:val="0FDC76FA"/>
    <w:rsid w:val="106D43EE"/>
    <w:rsid w:val="108452C1"/>
    <w:rsid w:val="11131669"/>
    <w:rsid w:val="11A9611E"/>
    <w:rsid w:val="1248188D"/>
    <w:rsid w:val="127D0336"/>
    <w:rsid w:val="127F665A"/>
    <w:rsid w:val="12E14E27"/>
    <w:rsid w:val="15472C5F"/>
    <w:rsid w:val="15BF16CB"/>
    <w:rsid w:val="1739003E"/>
    <w:rsid w:val="17A60298"/>
    <w:rsid w:val="19EC6BD7"/>
    <w:rsid w:val="1B1A2373"/>
    <w:rsid w:val="1BF53BEE"/>
    <w:rsid w:val="1C3919B9"/>
    <w:rsid w:val="1C8137B3"/>
    <w:rsid w:val="1D097853"/>
    <w:rsid w:val="1D6E2360"/>
    <w:rsid w:val="1D912C10"/>
    <w:rsid w:val="207E17E8"/>
    <w:rsid w:val="21982431"/>
    <w:rsid w:val="21A50B57"/>
    <w:rsid w:val="21F0669F"/>
    <w:rsid w:val="22E70030"/>
    <w:rsid w:val="25C042C4"/>
    <w:rsid w:val="26416F3C"/>
    <w:rsid w:val="27F76F67"/>
    <w:rsid w:val="27FA25B3"/>
    <w:rsid w:val="27FD02F5"/>
    <w:rsid w:val="284B72B3"/>
    <w:rsid w:val="287D718B"/>
    <w:rsid w:val="28B75523"/>
    <w:rsid w:val="291B0543"/>
    <w:rsid w:val="29836A8D"/>
    <w:rsid w:val="2AC82E3D"/>
    <w:rsid w:val="2B84745F"/>
    <w:rsid w:val="2BBC622D"/>
    <w:rsid w:val="2BD73F0E"/>
    <w:rsid w:val="2C5073CD"/>
    <w:rsid w:val="2CCA6AD3"/>
    <w:rsid w:val="2D32152D"/>
    <w:rsid w:val="2D4D587B"/>
    <w:rsid w:val="2D9554F2"/>
    <w:rsid w:val="2F662C24"/>
    <w:rsid w:val="2FEA2A22"/>
    <w:rsid w:val="2FF12EF9"/>
    <w:rsid w:val="30653889"/>
    <w:rsid w:val="30DF4A3C"/>
    <w:rsid w:val="32A45F3D"/>
    <w:rsid w:val="33634480"/>
    <w:rsid w:val="34827C54"/>
    <w:rsid w:val="35957DBF"/>
    <w:rsid w:val="368A71F8"/>
    <w:rsid w:val="392E47B3"/>
    <w:rsid w:val="3B48444D"/>
    <w:rsid w:val="3B5F5A8B"/>
    <w:rsid w:val="3BA47F48"/>
    <w:rsid w:val="3DAB60B8"/>
    <w:rsid w:val="3E496D17"/>
    <w:rsid w:val="3ED417EA"/>
    <w:rsid w:val="40363199"/>
    <w:rsid w:val="404C551E"/>
    <w:rsid w:val="40AB0497"/>
    <w:rsid w:val="41012622"/>
    <w:rsid w:val="41410DFB"/>
    <w:rsid w:val="421A3B26"/>
    <w:rsid w:val="42D00317"/>
    <w:rsid w:val="42FD2B88"/>
    <w:rsid w:val="435D7E53"/>
    <w:rsid w:val="436808C1"/>
    <w:rsid w:val="43A77E02"/>
    <w:rsid w:val="43AC2EA4"/>
    <w:rsid w:val="45233CAF"/>
    <w:rsid w:val="46202A9A"/>
    <w:rsid w:val="46B1432D"/>
    <w:rsid w:val="46F74BFA"/>
    <w:rsid w:val="474F4272"/>
    <w:rsid w:val="47C85DD2"/>
    <w:rsid w:val="482E5121"/>
    <w:rsid w:val="498B60E9"/>
    <w:rsid w:val="4A435BE4"/>
    <w:rsid w:val="4A9C3BCC"/>
    <w:rsid w:val="4ABF0B2E"/>
    <w:rsid w:val="4C0849EF"/>
    <w:rsid w:val="4CDC582F"/>
    <w:rsid w:val="4CF57893"/>
    <w:rsid w:val="4D797FFC"/>
    <w:rsid w:val="4D8B3B2A"/>
    <w:rsid w:val="4E1D32BD"/>
    <w:rsid w:val="4E3C5889"/>
    <w:rsid w:val="4E7C16C5"/>
    <w:rsid w:val="4EE23C1E"/>
    <w:rsid w:val="4F4D3A59"/>
    <w:rsid w:val="4F895E47"/>
    <w:rsid w:val="51954F77"/>
    <w:rsid w:val="51D77EE9"/>
    <w:rsid w:val="523A0A55"/>
    <w:rsid w:val="52846D9A"/>
    <w:rsid w:val="52F45CCD"/>
    <w:rsid w:val="5621327D"/>
    <w:rsid w:val="56225FEA"/>
    <w:rsid w:val="57262899"/>
    <w:rsid w:val="572B1A2F"/>
    <w:rsid w:val="57EE2620"/>
    <w:rsid w:val="57FF75EE"/>
    <w:rsid w:val="586438F5"/>
    <w:rsid w:val="58D05D56"/>
    <w:rsid w:val="59110CA0"/>
    <w:rsid w:val="59815DE1"/>
    <w:rsid w:val="5AE20B01"/>
    <w:rsid w:val="5B6E20A4"/>
    <w:rsid w:val="5B8502CC"/>
    <w:rsid w:val="5C357C0E"/>
    <w:rsid w:val="5C4E46A0"/>
    <w:rsid w:val="5CE40E27"/>
    <w:rsid w:val="5D303DA6"/>
    <w:rsid w:val="5D407E13"/>
    <w:rsid w:val="5DD25124"/>
    <w:rsid w:val="5DFF6AED"/>
    <w:rsid w:val="5E1F0D3F"/>
    <w:rsid w:val="5EA26B50"/>
    <w:rsid w:val="5EBA096A"/>
    <w:rsid w:val="5F45327F"/>
    <w:rsid w:val="5FB95EC1"/>
    <w:rsid w:val="5FCD32C4"/>
    <w:rsid w:val="606F26AF"/>
    <w:rsid w:val="60870181"/>
    <w:rsid w:val="63085EC5"/>
    <w:rsid w:val="63342381"/>
    <w:rsid w:val="64122457"/>
    <w:rsid w:val="643B3538"/>
    <w:rsid w:val="64EA5182"/>
    <w:rsid w:val="652020D2"/>
    <w:rsid w:val="666B40A1"/>
    <w:rsid w:val="676F6457"/>
    <w:rsid w:val="68FE744E"/>
    <w:rsid w:val="691F5600"/>
    <w:rsid w:val="6962178B"/>
    <w:rsid w:val="69CE5072"/>
    <w:rsid w:val="6BA718AC"/>
    <w:rsid w:val="6BC524A5"/>
    <w:rsid w:val="6E2816DE"/>
    <w:rsid w:val="6F51652A"/>
    <w:rsid w:val="703D240A"/>
    <w:rsid w:val="710E1A26"/>
    <w:rsid w:val="715A029C"/>
    <w:rsid w:val="716B5CA0"/>
    <w:rsid w:val="71C34D91"/>
    <w:rsid w:val="725B34E2"/>
    <w:rsid w:val="730438B3"/>
    <w:rsid w:val="73045661"/>
    <w:rsid w:val="73701EFD"/>
    <w:rsid w:val="738F4DA6"/>
    <w:rsid w:val="73B451E2"/>
    <w:rsid w:val="746035B7"/>
    <w:rsid w:val="749534C9"/>
    <w:rsid w:val="758E028C"/>
    <w:rsid w:val="75AD3563"/>
    <w:rsid w:val="761B5462"/>
    <w:rsid w:val="7878534F"/>
    <w:rsid w:val="79093415"/>
    <w:rsid w:val="7A0C2CC5"/>
    <w:rsid w:val="7A2D0625"/>
    <w:rsid w:val="7A6443D9"/>
    <w:rsid w:val="7C3F5792"/>
    <w:rsid w:val="7D3B25C7"/>
    <w:rsid w:val="7DAC40A3"/>
    <w:rsid w:val="7E9E2E0E"/>
    <w:rsid w:val="7EFE11AF"/>
    <w:rsid w:val="7F0F5AB9"/>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autoRedefine/>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autoRedefine/>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autoRedefine/>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Document Map"/>
    <w:basedOn w:val="1"/>
    <w:link w:val="30"/>
    <w:autoRedefine/>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autoRedefine/>
    <w:qFormat/>
    <w:uiPriority w:val="0"/>
    <w:pPr>
      <w:jc w:val="left"/>
    </w:pPr>
    <w:rPr>
      <w:snapToGrid/>
      <w:sz w:val="21"/>
      <w:szCs w:val="22"/>
    </w:rPr>
  </w:style>
  <w:style w:type="paragraph" w:styleId="7">
    <w:name w:val="Body Text"/>
    <w:basedOn w:val="1"/>
    <w:link w:val="32"/>
    <w:autoRedefine/>
    <w:qFormat/>
    <w:uiPriority w:val="0"/>
    <w:rPr>
      <w:snapToGrid/>
      <w:color w:val="FF0000"/>
      <w:kern w:val="0"/>
      <w:sz w:val="20"/>
    </w:rPr>
  </w:style>
  <w:style w:type="paragraph" w:styleId="8">
    <w:name w:val="Body Text Indent"/>
    <w:basedOn w:val="1"/>
    <w:link w:val="33"/>
    <w:autoRedefine/>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autoRedefine/>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autoRedefine/>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autoRedefine/>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autoRedefine/>
    <w:semiHidden/>
    <w:qFormat/>
    <w:uiPriority w:val="0"/>
    <w:rPr>
      <w:sz w:val="18"/>
      <w:szCs w:val="18"/>
    </w:rPr>
  </w:style>
  <w:style w:type="paragraph" w:styleId="13">
    <w:name w:val="footer"/>
    <w:basedOn w:val="1"/>
    <w:link w:val="38"/>
    <w:autoRedefine/>
    <w:qFormat/>
    <w:uiPriority w:val="0"/>
    <w:pPr>
      <w:tabs>
        <w:tab w:val="center" w:pos="4153"/>
        <w:tab w:val="right" w:pos="8306"/>
      </w:tabs>
      <w:jc w:val="left"/>
    </w:pPr>
    <w:rPr>
      <w:snapToGrid/>
      <w:kern w:val="0"/>
      <w:sz w:val="18"/>
      <w:szCs w:val="18"/>
    </w:rPr>
  </w:style>
  <w:style w:type="paragraph" w:styleId="14">
    <w:name w:val="header"/>
    <w:basedOn w:val="1"/>
    <w:link w:val="39"/>
    <w:autoRedefine/>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autoRedefine/>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autoRedefine/>
    <w:semiHidden/>
    <w:qFormat/>
    <w:uiPriority w:val="0"/>
    <w:pPr>
      <w:topLinePunct w:val="0"/>
      <w:adjustRightInd/>
      <w:snapToGrid/>
      <w:spacing w:line="240" w:lineRule="auto"/>
      <w:ind w:firstLine="0"/>
    </w:pPr>
    <w:rPr>
      <w:sz w:val="24"/>
      <w:szCs w:val="20"/>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b/>
    </w:rPr>
  </w:style>
  <w:style w:type="character" w:styleId="23">
    <w:name w:val="page number"/>
    <w:basedOn w:val="21"/>
    <w:autoRedefine/>
    <w:qFormat/>
    <w:uiPriority w:val="0"/>
  </w:style>
  <w:style w:type="character" w:styleId="24">
    <w:name w:val="FollowedHyperlink"/>
    <w:autoRedefine/>
    <w:qFormat/>
    <w:uiPriority w:val="0"/>
    <w:rPr>
      <w:color w:val="800080"/>
      <w:u w:val="single"/>
    </w:rPr>
  </w:style>
  <w:style w:type="character" w:styleId="25">
    <w:name w:val="Hyperlink"/>
    <w:autoRedefine/>
    <w:qFormat/>
    <w:uiPriority w:val="0"/>
    <w:rPr>
      <w:color w:val="0000FF"/>
      <w:u w:val="single"/>
    </w:rPr>
  </w:style>
  <w:style w:type="character" w:styleId="26">
    <w:name w:val="annotation reference"/>
    <w:autoRedefine/>
    <w:semiHidden/>
    <w:qFormat/>
    <w:uiPriority w:val="0"/>
    <w:rPr>
      <w:sz w:val="21"/>
    </w:rPr>
  </w:style>
  <w:style w:type="character" w:customStyle="1" w:styleId="27">
    <w:name w:val="标题 1 Char"/>
    <w:link w:val="2"/>
    <w:autoRedefine/>
    <w:qFormat/>
    <w:locked/>
    <w:uiPriority w:val="0"/>
    <w:rPr>
      <w:rFonts w:eastAsia="宋体"/>
      <w:b/>
      <w:bCs/>
      <w:kern w:val="44"/>
      <w:sz w:val="44"/>
      <w:szCs w:val="44"/>
      <w:lang w:val="en-US" w:eastAsia="zh-CN" w:bidi="ar-SA"/>
    </w:rPr>
  </w:style>
  <w:style w:type="character" w:customStyle="1" w:styleId="28">
    <w:name w:val="标题 2 Char"/>
    <w:link w:val="3"/>
    <w:autoRedefine/>
    <w:qFormat/>
    <w:locked/>
    <w:uiPriority w:val="0"/>
    <w:rPr>
      <w:rFonts w:ascii="Arial" w:hAnsi="Arial" w:eastAsia="黑体" w:cs="Arial"/>
      <w:b/>
      <w:bCs/>
      <w:kern w:val="2"/>
      <w:sz w:val="32"/>
      <w:szCs w:val="32"/>
      <w:lang w:val="en-US" w:eastAsia="zh-CN" w:bidi="ar-SA"/>
    </w:rPr>
  </w:style>
  <w:style w:type="character" w:customStyle="1" w:styleId="29">
    <w:name w:val="标题 3 Char"/>
    <w:link w:val="4"/>
    <w:autoRedefine/>
    <w:semiHidden/>
    <w:qFormat/>
    <w:locked/>
    <w:uiPriority w:val="0"/>
    <w:rPr>
      <w:rFonts w:eastAsia="宋体"/>
      <w:b/>
      <w:bCs/>
      <w:kern w:val="2"/>
      <w:sz w:val="32"/>
      <w:szCs w:val="32"/>
      <w:lang w:val="en-US" w:eastAsia="zh-CN" w:bidi="ar-SA"/>
    </w:rPr>
  </w:style>
  <w:style w:type="character" w:customStyle="1" w:styleId="30">
    <w:name w:val="文档结构图 Char"/>
    <w:link w:val="5"/>
    <w:autoRedefine/>
    <w:qFormat/>
    <w:locked/>
    <w:uiPriority w:val="0"/>
    <w:rPr>
      <w:rFonts w:eastAsia="宋体"/>
      <w:kern w:val="2"/>
      <w:sz w:val="24"/>
      <w:szCs w:val="24"/>
      <w:lang w:val="en-US" w:eastAsia="zh-CN" w:bidi="ar-SA"/>
    </w:rPr>
  </w:style>
  <w:style w:type="character" w:customStyle="1" w:styleId="31">
    <w:name w:val="批注文字 Char1"/>
    <w:link w:val="6"/>
    <w:autoRedefine/>
    <w:qFormat/>
    <w:uiPriority w:val="0"/>
    <w:rPr>
      <w:kern w:val="2"/>
      <w:sz w:val="21"/>
      <w:szCs w:val="22"/>
    </w:rPr>
  </w:style>
  <w:style w:type="character" w:customStyle="1" w:styleId="32">
    <w:name w:val="正文文本 Char"/>
    <w:link w:val="7"/>
    <w:autoRedefine/>
    <w:qFormat/>
    <w:locked/>
    <w:uiPriority w:val="0"/>
    <w:rPr>
      <w:color w:val="FF0000"/>
      <w:szCs w:val="21"/>
    </w:rPr>
  </w:style>
  <w:style w:type="character" w:customStyle="1" w:styleId="33">
    <w:name w:val="正文文本缩进 Char1"/>
    <w:link w:val="8"/>
    <w:autoRedefine/>
    <w:qFormat/>
    <w:locked/>
    <w:uiPriority w:val="0"/>
    <w:rPr>
      <w:rFonts w:eastAsia="宋体"/>
      <w:kern w:val="2"/>
      <w:sz w:val="21"/>
      <w:szCs w:val="21"/>
      <w:lang w:val="en-US" w:eastAsia="zh-CN" w:bidi="ar-SA"/>
    </w:rPr>
  </w:style>
  <w:style w:type="character" w:customStyle="1" w:styleId="34">
    <w:name w:val="纯文本 Char1"/>
    <w:link w:val="9"/>
    <w:autoRedefine/>
    <w:qFormat/>
    <w:locked/>
    <w:uiPriority w:val="0"/>
    <w:rPr>
      <w:rFonts w:ascii="宋体" w:hAnsi="Courier New"/>
      <w:kern w:val="2"/>
      <w:sz w:val="21"/>
      <w:lang w:bidi="ar-SA"/>
    </w:rPr>
  </w:style>
  <w:style w:type="character" w:customStyle="1" w:styleId="35">
    <w:name w:val="日期 Char"/>
    <w:link w:val="10"/>
    <w:autoRedefine/>
    <w:semiHidden/>
    <w:qFormat/>
    <w:locked/>
    <w:uiPriority w:val="0"/>
    <w:rPr>
      <w:rFonts w:eastAsia="宋体"/>
      <w:lang w:val="en-US" w:eastAsia="zh-CN" w:bidi="ar-SA"/>
    </w:rPr>
  </w:style>
  <w:style w:type="character" w:customStyle="1" w:styleId="36">
    <w:name w:val="正文文本缩进 2 Char1"/>
    <w:link w:val="11"/>
    <w:autoRedefine/>
    <w:qFormat/>
    <w:locked/>
    <w:uiPriority w:val="0"/>
    <w:rPr>
      <w:rFonts w:ascii="宋体"/>
      <w:kern w:val="2"/>
      <w:sz w:val="24"/>
      <w:lang w:bidi="ar-SA"/>
    </w:rPr>
  </w:style>
  <w:style w:type="character" w:customStyle="1" w:styleId="37">
    <w:name w:val="批注框文本 Char"/>
    <w:link w:val="12"/>
    <w:autoRedefine/>
    <w:qFormat/>
    <w:locked/>
    <w:uiPriority w:val="0"/>
    <w:rPr>
      <w:rFonts w:eastAsia="宋体"/>
      <w:snapToGrid w:val="0"/>
      <w:kern w:val="2"/>
      <w:sz w:val="18"/>
      <w:szCs w:val="18"/>
      <w:lang w:val="en-US" w:eastAsia="zh-CN" w:bidi="ar-SA"/>
    </w:rPr>
  </w:style>
  <w:style w:type="character" w:customStyle="1" w:styleId="38">
    <w:name w:val="页脚 Char"/>
    <w:link w:val="13"/>
    <w:autoRedefine/>
    <w:qFormat/>
    <w:uiPriority w:val="0"/>
    <w:rPr>
      <w:sz w:val="18"/>
      <w:szCs w:val="18"/>
    </w:rPr>
  </w:style>
  <w:style w:type="character" w:customStyle="1" w:styleId="39">
    <w:name w:val="页眉 Char"/>
    <w:link w:val="14"/>
    <w:autoRedefine/>
    <w:qFormat/>
    <w:uiPriority w:val="0"/>
    <w:rPr>
      <w:sz w:val="18"/>
      <w:szCs w:val="18"/>
    </w:rPr>
  </w:style>
  <w:style w:type="character" w:customStyle="1" w:styleId="40">
    <w:name w:val="标题 Char"/>
    <w:link w:val="17"/>
    <w:autoRedefine/>
    <w:qFormat/>
    <w:uiPriority w:val="0"/>
    <w:rPr>
      <w:rFonts w:ascii="Cambria" w:hAnsi="Cambria" w:cs="Times New Roman"/>
      <w:b/>
      <w:bCs/>
      <w:kern w:val="2"/>
      <w:sz w:val="32"/>
      <w:szCs w:val="32"/>
    </w:rPr>
  </w:style>
  <w:style w:type="character" w:customStyle="1" w:styleId="41">
    <w:name w:val="批注主题 Char1"/>
    <w:link w:val="18"/>
    <w:autoRedefine/>
    <w:qFormat/>
    <w:locked/>
    <w:uiPriority w:val="0"/>
    <w:rPr>
      <w:kern w:val="2"/>
      <w:sz w:val="24"/>
      <w:lang w:bidi="ar-SA"/>
    </w:rPr>
  </w:style>
  <w:style w:type="character" w:customStyle="1" w:styleId="42">
    <w:name w:val="正文文本缩进 2 Char"/>
    <w:link w:val="43"/>
    <w:autoRedefine/>
    <w:qFormat/>
    <w:uiPriority w:val="0"/>
    <w:rPr>
      <w:kern w:val="2"/>
      <w:sz w:val="21"/>
      <w:szCs w:val="22"/>
    </w:rPr>
  </w:style>
  <w:style w:type="paragraph" w:customStyle="1" w:styleId="43">
    <w:name w:val="正文文本缩进 21"/>
    <w:basedOn w:val="1"/>
    <w:link w:val="42"/>
    <w:autoRedefine/>
    <w:qFormat/>
    <w:uiPriority w:val="0"/>
    <w:pPr>
      <w:spacing w:after="120" w:line="480" w:lineRule="auto"/>
      <w:ind w:left="420" w:leftChars="200"/>
    </w:pPr>
    <w:rPr>
      <w:snapToGrid/>
      <w:sz w:val="21"/>
      <w:szCs w:val="22"/>
    </w:rPr>
  </w:style>
  <w:style w:type="character" w:customStyle="1" w:styleId="44">
    <w:name w:val="font31"/>
    <w:autoRedefine/>
    <w:qFormat/>
    <w:uiPriority w:val="0"/>
    <w:rPr>
      <w:rFonts w:hint="eastAsia" w:ascii="宋体" w:hAnsi="宋体" w:eastAsia="宋体" w:cs="宋体"/>
      <w:color w:val="000000"/>
      <w:sz w:val="18"/>
      <w:szCs w:val="18"/>
      <w:u w:val="none"/>
    </w:rPr>
  </w:style>
  <w:style w:type="character" w:customStyle="1" w:styleId="45">
    <w:name w:val="批注框文本 Char Char Char"/>
    <w:link w:val="46"/>
    <w:autoRedefine/>
    <w:qFormat/>
    <w:uiPriority w:val="0"/>
    <w:rPr>
      <w:kern w:val="2"/>
      <w:sz w:val="18"/>
      <w:szCs w:val="18"/>
    </w:rPr>
  </w:style>
  <w:style w:type="paragraph" w:customStyle="1" w:styleId="46">
    <w:name w:val="批注框文本 Char Char"/>
    <w:basedOn w:val="1"/>
    <w:link w:val="45"/>
    <w:autoRedefine/>
    <w:qFormat/>
    <w:uiPriority w:val="0"/>
    <w:rPr>
      <w:snapToGrid/>
      <w:sz w:val="18"/>
      <w:szCs w:val="18"/>
    </w:rPr>
  </w:style>
  <w:style w:type="character" w:customStyle="1" w:styleId="47">
    <w:name w:val="apple-converted-space"/>
    <w:basedOn w:val="21"/>
    <w:autoRedefine/>
    <w:qFormat/>
    <w:uiPriority w:val="0"/>
  </w:style>
  <w:style w:type="character" w:customStyle="1" w:styleId="48">
    <w:name w:val="Char Char6"/>
    <w:autoRedefine/>
    <w:qFormat/>
    <w:uiPriority w:val="0"/>
    <w:rPr>
      <w:sz w:val="18"/>
      <w:szCs w:val="18"/>
      <w:lang w:bidi="ar-SA"/>
    </w:rPr>
  </w:style>
  <w:style w:type="character" w:customStyle="1" w:styleId="49">
    <w:name w:val="批注文字 Char"/>
    <w:autoRedefine/>
    <w:qFormat/>
    <w:uiPriority w:val="0"/>
    <w:rPr>
      <w:rFonts w:eastAsia="宋体"/>
      <w:kern w:val="2"/>
      <w:sz w:val="24"/>
      <w:lang w:val="en-US" w:eastAsia="zh-CN"/>
    </w:rPr>
  </w:style>
  <w:style w:type="character" w:customStyle="1" w:styleId="50">
    <w:name w:val="批注引用1"/>
    <w:autoRedefine/>
    <w:qFormat/>
    <w:uiPriority w:val="0"/>
    <w:rPr>
      <w:sz w:val="21"/>
      <w:szCs w:val="21"/>
    </w:rPr>
  </w:style>
  <w:style w:type="character" w:customStyle="1" w:styleId="51">
    <w:name w:val="Footer Char"/>
    <w:autoRedefine/>
    <w:qFormat/>
    <w:locked/>
    <w:uiPriority w:val="0"/>
    <w:rPr>
      <w:kern w:val="2"/>
      <w:sz w:val="18"/>
    </w:rPr>
  </w:style>
  <w:style w:type="character" w:customStyle="1" w:styleId="52">
    <w:name w:val="List Paragraph Char"/>
    <w:link w:val="53"/>
    <w:autoRedefine/>
    <w:qFormat/>
    <w:locked/>
    <w:uiPriority w:val="0"/>
    <w:rPr>
      <w:rFonts w:eastAsia="宋体"/>
      <w:snapToGrid w:val="0"/>
      <w:kern w:val="2"/>
      <w:sz w:val="24"/>
      <w:szCs w:val="21"/>
      <w:lang w:val="en-US" w:eastAsia="zh-CN" w:bidi="ar-SA"/>
    </w:rPr>
  </w:style>
  <w:style w:type="paragraph" w:customStyle="1" w:styleId="53">
    <w:name w:val="List Paragraph1"/>
    <w:basedOn w:val="1"/>
    <w:link w:val="52"/>
    <w:autoRedefine/>
    <w:qFormat/>
    <w:uiPriority w:val="0"/>
    <w:pPr>
      <w:ind w:firstLine="420" w:firstLineChars="200"/>
    </w:pPr>
  </w:style>
  <w:style w:type="character" w:customStyle="1" w:styleId="54">
    <w:name w:val="样式 首行缩进:  2 字符 Char Char"/>
    <w:link w:val="55"/>
    <w:autoRedefine/>
    <w:qFormat/>
    <w:uiPriority w:val="0"/>
    <w:rPr>
      <w:rFonts w:ascii="Times New Roman" w:hAnsi="Times New Roman" w:cs="宋体"/>
      <w:kern w:val="2"/>
      <w:sz w:val="21"/>
    </w:rPr>
  </w:style>
  <w:style w:type="paragraph" w:customStyle="1" w:styleId="55">
    <w:name w:val="样式 首行缩进:  2 字符"/>
    <w:basedOn w:val="1"/>
    <w:link w:val="54"/>
    <w:autoRedefine/>
    <w:qFormat/>
    <w:uiPriority w:val="0"/>
    <w:pPr>
      <w:ind w:firstLine="200" w:firstLineChars="200"/>
    </w:pPr>
    <w:rPr>
      <w:snapToGrid/>
      <w:sz w:val="21"/>
      <w:szCs w:val="20"/>
    </w:rPr>
  </w:style>
  <w:style w:type="character" w:customStyle="1" w:styleId="56">
    <w:name w:val="Header Char"/>
    <w:autoRedefine/>
    <w:qFormat/>
    <w:locked/>
    <w:uiPriority w:val="0"/>
    <w:rPr>
      <w:kern w:val="2"/>
      <w:sz w:val="18"/>
    </w:rPr>
  </w:style>
  <w:style w:type="character" w:customStyle="1" w:styleId="57">
    <w:name w:val="Font Style15"/>
    <w:autoRedefine/>
    <w:qFormat/>
    <w:uiPriority w:val="0"/>
    <w:rPr>
      <w:rFonts w:ascii="Times New Roman" w:hAnsi="Times New Roman"/>
      <w:sz w:val="24"/>
    </w:rPr>
  </w:style>
  <w:style w:type="character" w:customStyle="1" w:styleId="58">
    <w:name w:val="Plain Text Char1"/>
    <w:autoRedefine/>
    <w:semiHidden/>
    <w:qFormat/>
    <w:uiPriority w:val="0"/>
    <w:rPr>
      <w:rFonts w:ascii="宋体" w:hAnsi="Courier New"/>
      <w:sz w:val="21"/>
    </w:rPr>
  </w:style>
  <w:style w:type="character" w:customStyle="1" w:styleId="59">
    <w:name w:val="Title Char1"/>
    <w:autoRedefine/>
    <w:qFormat/>
    <w:uiPriority w:val="0"/>
    <w:rPr>
      <w:rFonts w:ascii="Cambria" w:hAnsi="Cambria"/>
      <w:b/>
      <w:sz w:val="32"/>
    </w:rPr>
  </w:style>
  <w:style w:type="character" w:customStyle="1" w:styleId="60">
    <w:name w:val="Title Char"/>
    <w:autoRedefine/>
    <w:qFormat/>
    <w:locked/>
    <w:uiPriority w:val="0"/>
    <w:rPr>
      <w:rFonts w:ascii="Cambria" w:hAnsi="Cambria" w:eastAsia="宋体"/>
      <w:b/>
      <w:kern w:val="2"/>
      <w:sz w:val="32"/>
      <w:lang w:val="en-US" w:eastAsia="zh-CN"/>
    </w:rPr>
  </w:style>
  <w:style w:type="character" w:customStyle="1" w:styleId="61">
    <w:name w:val="表文 Char"/>
    <w:link w:val="62"/>
    <w:autoRedefine/>
    <w:qFormat/>
    <w:uiPriority w:val="0"/>
    <w:rPr>
      <w:rFonts w:eastAsia="宋体"/>
      <w:snapToGrid w:val="0"/>
      <w:kern w:val="2"/>
      <w:position w:val="10"/>
      <w:sz w:val="18"/>
      <w:szCs w:val="18"/>
      <w:lang w:val="en-US" w:eastAsia="zh-CN" w:bidi="ar-SA"/>
    </w:rPr>
  </w:style>
  <w:style w:type="paragraph" w:customStyle="1" w:styleId="62">
    <w:name w:val="表文"/>
    <w:basedOn w:val="1"/>
    <w:link w:val="61"/>
    <w:autoRedefine/>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autoRedefine/>
    <w:qFormat/>
    <w:uiPriority w:val="0"/>
    <w:rPr>
      <w:rFonts w:ascii="宋体" w:hAnsi="Courier New" w:cs="Courier New"/>
      <w:kern w:val="2"/>
      <w:sz w:val="21"/>
      <w:szCs w:val="21"/>
    </w:rPr>
  </w:style>
  <w:style w:type="paragraph" w:customStyle="1" w:styleId="64">
    <w:name w:val="纯文本1"/>
    <w:basedOn w:val="1"/>
    <w:link w:val="63"/>
    <w:autoRedefine/>
    <w:qFormat/>
    <w:uiPriority w:val="0"/>
    <w:rPr>
      <w:rFonts w:ascii="宋体" w:hAnsi="Courier New"/>
      <w:snapToGrid/>
      <w:sz w:val="21"/>
    </w:rPr>
  </w:style>
  <w:style w:type="character" w:customStyle="1" w:styleId="65">
    <w:name w:val="Char Char7"/>
    <w:autoRedefine/>
    <w:qFormat/>
    <w:uiPriority w:val="0"/>
    <w:rPr>
      <w:sz w:val="18"/>
      <w:szCs w:val="18"/>
      <w:lang w:bidi="ar-SA"/>
    </w:rPr>
  </w:style>
  <w:style w:type="character" w:customStyle="1" w:styleId="66">
    <w:name w:val="正文文本缩进 Char"/>
    <w:link w:val="67"/>
    <w:autoRedefine/>
    <w:qFormat/>
    <w:uiPriority w:val="0"/>
    <w:rPr>
      <w:kern w:val="2"/>
      <w:sz w:val="21"/>
      <w:szCs w:val="22"/>
    </w:rPr>
  </w:style>
  <w:style w:type="paragraph" w:customStyle="1" w:styleId="67">
    <w:name w:val="正文文本缩进1"/>
    <w:basedOn w:val="1"/>
    <w:link w:val="66"/>
    <w:autoRedefine/>
    <w:qFormat/>
    <w:uiPriority w:val="0"/>
    <w:pPr>
      <w:spacing w:after="120"/>
      <w:ind w:left="420" w:leftChars="200"/>
    </w:pPr>
    <w:rPr>
      <w:snapToGrid/>
      <w:sz w:val="21"/>
      <w:szCs w:val="22"/>
    </w:rPr>
  </w:style>
  <w:style w:type="character" w:customStyle="1" w:styleId="68">
    <w:name w:val="Char Char"/>
    <w:autoRedefine/>
    <w:qFormat/>
    <w:uiPriority w:val="0"/>
    <w:rPr>
      <w:rFonts w:eastAsia="宋体"/>
      <w:kern w:val="2"/>
      <w:sz w:val="18"/>
      <w:lang w:val="en-US" w:eastAsia="zh-CN"/>
    </w:rPr>
  </w:style>
  <w:style w:type="character" w:customStyle="1" w:styleId="69">
    <w:name w:val="表内容 Char"/>
    <w:link w:val="70"/>
    <w:autoRedefine/>
    <w:qFormat/>
    <w:locked/>
    <w:uiPriority w:val="0"/>
    <w:rPr>
      <w:rFonts w:ascii="宋体" w:eastAsia="宋体" w:cs="宋体"/>
      <w:sz w:val="18"/>
      <w:szCs w:val="18"/>
      <w:lang w:val="en-US" w:eastAsia="zh-CN" w:bidi="ar-SA"/>
    </w:rPr>
  </w:style>
  <w:style w:type="paragraph" w:customStyle="1" w:styleId="70">
    <w:name w:val="表内容"/>
    <w:basedOn w:val="1"/>
    <w:link w:val="69"/>
    <w:autoRedefine/>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autoRedefine/>
    <w:qFormat/>
    <w:uiPriority w:val="0"/>
    <w:rPr>
      <w:rFonts w:eastAsia="宋体"/>
      <w:kern w:val="2"/>
      <w:sz w:val="18"/>
      <w:lang w:val="en-US" w:eastAsia="zh-CN"/>
    </w:rPr>
  </w:style>
  <w:style w:type="character" w:customStyle="1" w:styleId="72">
    <w:name w:val="批注主题 Char"/>
    <w:link w:val="73"/>
    <w:autoRedefine/>
    <w:qFormat/>
    <w:uiPriority w:val="0"/>
    <w:rPr>
      <w:b/>
      <w:bCs/>
      <w:kern w:val="2"/>
      <w:sz w:val="21"/>
      <w:szCs w:val="22"/>
    </w:rPr>
  </w:style>
  <w:style w:type="paragraph" w:customStyle="1" w:styleId="73">
    <w:name w:val="批注主题1"/>
    <w:basedOn w:val="6"/>
    <w:next w:val="6"/>
    <w:link w:val="72"/>
    <w:autoRedefine/>
    <w:qFormat/>
    <w:uiPriority w:val="0"/>
    <w:rPr>
      <w:b/>
      <w:bCs/>
    </w:rPr>
  </w:style>
  <w:style w:type="character" w:customStyle="1" w:styleId="74">
    <w:name w:val="Body Text Indent 2 Char1"/>
    <w:autoRedefine/>
    <w:semiHidden/>
    <w:qFormat/>
    <w:uiPriority w:val="0"/>
    <w:rPr>
      <w:sz w:val="24"/>
    </w:rPr>
  </w:style>
  <w:style w:type="character" w:customStyle="1" w:styleId="75">
    <w:name w:val="Comment Text Char"/>
    <w:autoRedefine/>
    <w:qFormat/>
    <w:locked/>
    <w:uiPriority w:val="0"/>
    <w:rPr>
      <w:kern w:val="2"/>
      <w:sz w:val="24"/>
    </w:rPr>
  </w:style>
  <w:style w:type="character" w:customStyle="1" w:styleId="76">
    <w:name w:val="15"/>
    <w:autoRedefine/>
    <w:qFormat/>
    <w:uiPriority w:val="0"/>
    <w:rPr>
      <w:rFonts w:ascii="Times New Roman" w:hAnsi="Times New Roman"/>
      <w:color w:val="auto"/>
      <w:sz w:val="20"/>
      <w:u w:val="none"/>
    </w:rPr>
  </w:style>
  <w:style w:type="character" w:customStyle="1" w:styleId="77">
    <w:name w:val="书籍标题1"/>
    <w:autoRedefine/>
    <w:qFormat/>
    <w:uiPriority w:val="0"/>
    <w:rPr>
      <w:b/>
      <w:bCs/>
      <w:smallCaps/>
      <w:spacing w:val="5"/>
    </w:rPr>
  </w:style>
  <w:style w:type="paragraph" w:customStyle="1" w:styleId="78">
    <w:name w:val="表题"/>
    <w:basedOn w:val="1"/>
    <w:autoRedefine/>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autoRedefine/>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autoRedefine/>
    <w:qFormat/>
    <w:uiPriority w:val="0"/>
    <w:pPr>
      <w:topLinePunct w:val="0"/>
      <w:adjustRightInd/>
      <w:snapToGrid/>
      <w:spacing w:line="240" w:lineRule="auto"/>
      <w:ind w:firstLine="0"/>
    </w:pPr>
    <w:rPr>
      <w:snapToGrid/>
      <w:sz w:val="21"/>
    </w:rPr>
  </w:style>
  <w:style w:type="paragraph" w:customStyle="1" w:styleId="83">
    <w:name w:val="bt1"/>
    <w:basedOn w:val="1"/>
    <w:autoRedefine/>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autoRedefine/>
    <w:qFormat/>
    <w:uiPriority w:val="0"/>
    <w:pPr>
      <w:widowControl/>
      <w:topLinePunct w:val="0"/>
      <w:adjustRightInd/>
      <w:snapToGrid/>
      <w:spacing w:line="240" w:lineRule="auto"/>
      <w:ind w:firstLine="0"/>
    </w:pPr>
    <w:rPr>
      <w:snapToGrid/>
      <w:kern w:val="0"/>
      <w:sz w:val="21"/>
    </w:rPr>
  </w:style>
  <w:style w:type="paragraph" w:customStyle="1" w:styleId="85">
    <w:name w:val="xl63"/>
    <w:basedOn w:val="1"/>
    <w:autoRedefine/>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autoRedefine/>
    <w:qFormat/>
    <w:uiPriority w:val="0"/>
    <w:rPr>
      <w:rFonts w:ascii="Tahoma" w:hAnsi="Tahoma"/>
      <w:szCs w:val="20"/>
    </w:rPr>
  </w:style>
  <w:style w:type="paragraph" w:customStyle="1" w:styleId="9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autoRedefine/>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autoRedefine/>
    <w:qFormat/>
    <w:uiPriority w:val="0"/>
    <w:pPr>
      <w:spacing w:line="300" w:lineRule="atLeast"/>
    </w:pPr>
    <w:rPr>
      <w:rFonts w:cs="宋体"/>
      <w:kern w:val="0"/>
      <w:szCs w:val="20"/>
    </w:rPr>
  </w:style>
  <w:style w:type="paragraph" w:customStyle="1" w:styleId="99">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autoRedefine/>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autoRedefine/>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autoRedefine/>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autoRedefine/>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autoRedefine/>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autoRedefine/>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autoRedefine/>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autoRedefine/>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autoRedefine/>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autoRedefine/>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autoRedefine/>
    <w:qFormat/>
    <w:uiPriority w:val="0"/>
    <w:pPr>
      <w:spacing w:line="240" w:lineRule="auto"/>
      <w:jc w:val="center"/>
    </w:pPr>
    <w:rPr>
      <w:rFonts w:ascii="Arial" w:hAnsi="Arial" w:eastAsia="黑体"/>
    </w:rPr>
  </w:style>
  <w:style w:type="paragraph" w:customStyle="1" w:styleId="124">
    <w:name w:val="xl71"/>
    <w:basedOn w:val="1"/>
    <w:autoRedefine/>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autoRedefine/>
    <w:qFormat/>
    <w:uiPriority w:val="0"/>
    <w:rPr>
      <w:rFonts w:ascii="MingLiU" w:hAnsi="MingLiU" w:eastAsia="MingLiU" w:cs="MingLiU"/>
      <w:spacing w:val="20"/>
      <w:shd w:val="clear" w:color="auto" w:fill="FFFFFF"/>
    </w:rPr>
  </w:style>
  <w:style w:type="paragraph" w:customStyle="1" w:styleId="126">
    <w:name w:val="正文文本 (2)"/>
    <w:basedOn w:val="1"/>
    <w:link w:val="125"/>
    <w:autoRedefine/>
    <w:qFormat/>
    <w:uiPriority w:val="0"/>
    <w:pPr>
      <w:shd w:val="clear" w:color="auto" w:fill="FFFFFF"/>
      <w:topLinePunct w:val="0"/>
      <w:adjustRightInd/>
      <w:snapToGrid/>
      <w:spacing w:before="120" w:after="120" w:line="0" w:lineRule="atLeast"/>
      <w:ind w:firstLine="0"/>
      <w:jc w:val="distribute"/>
    </w:pPr>
    <w:rPr>
      <w:rFonts w:ascii="MingLiU" w:hAnsi="MingLiU" w:eastAsia="MingLiU"/>
      <w:snapToGrid/>
      <w:spacing w:val="20"/>
      <w:kern w:val="0"/>
      <w:sz w:val="20"/>
      <w:szCs w:val="20"/>
    </w:rPr>
  </w:style>
  <w:style w:type="character" w:customStyle="1" w:styleId="127">
    <w:name w:val="表格标题_"/>
    <w:link w:val="128"/>
    <w:autoRedefine/>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autoRedefine/>
    <w:qFormat/>
    <w:uiPriority w:val="0"/>
    <w:pPr>
      <w:shd w:val="clear" w:color="auto" w:fill="FFFFFF"/>
      <w:topLinePunct w:val="0"/>
      <w:adjustRightInd/>
      <w:snapToGrid/>
      <w:spacing w:line="0" w:lineRule="atLeast"/>
      <w:ind w:firstLine="0"/>
      <w:jc w:val="right"/>
    </w:pPr>
    <w:rPr>
      <w:rFonts w:ascii="MingLiU" w:hAnsi="MingLiU" w:eastAsia="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9695</Words>
  <Characters>9982</Characters>
  <Lines>83</Lines>
  <Paragraphs>23</Paragraphs>
  <TotalTime>6</TotalTime>
  <ScaleCrop>false</ScaleCrop>
  <LinksUpToDate>false</LinksUpToDate>
  <CharactersWithSpaces>10065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2019-08-24T03:58:00Z</dcterms:created>
  <dc:creator>liuxin</dc:creator>
  <cp:lastModifiedBy>Spring</cp:lastModifiedBy>
  <cp:lastPrinted>2014-09-11T01:55:00Z</cp:lastPrinted>
  <dcterms:modified xsi:type="dcterms:W3CDTF">2024-06-11T02:32:58Z</dcterms:modified>
  <dc:title>中等职业学校计算机网络技术专业教学标准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A87F48E7C1F6442FB5DB396AE96A5421_13</vt:lpwstr>
  </property>
</Properties>
</file>