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hint="eastAsia"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360" w:lineRule="auto"/>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360" w:lineRule="auto"/>
        <w:ind w:firstLine="0"/>
        <w:jc w:val="center"/>
        <w:textAlignment w:val="auto"/>
        <w:rPr>
          <w:rFonts w:hint="eastAsia" w:ascii="华文中宋" w:hAnsi="华文中宋" w:eastAsia="华文中宋"/>
          <w:sz w:val="48"/>
          <w:szCs w:val="48"/>
        </w:rPr>
      </w:pPr>
      <w:r>
        <w:rPr>
          <w:rFonts w:hint="eastAsia" w:ascii="华文中宋" w:hAnsi="华文中宋" w:eastAsia="华文中宋"/>
          <w:color w:val="auto"/>
          <w:sz w:val="48"/>
          <w:szCs w:val="48"/>
          <w:lang w:val="en-US" w:eastAsia="zh-CN"/>
        </w:rPr>
        <w:t>数字影像技术专业</w:t>
      </w:r>
      <w:r>
        <w:rPr>
          <w:rFonts w:hint="eastAsia" w:ascii="华文中宋" w:hAnsi="华文中宋" w:eastAsia="华文中宋"/>
          <w:sz w:val="48"/>
          <w:szCs w:val="48"/>
        </w:rPr>
        <w:t>人才培养方案</w:t>
      </w:r>
    </w:p>
    <w:p>
      <w:pPr>
        <w:keepNext w:val="0"/>
        <w:keepLines w:val="0"/>
        <w:pageBreakBefore w:val="0"/>
        <w:widowControl w:val="0"/>
        <w:kinsoku/>
        <w:wordWrap/>
        <w:overflowPunct/>
        <w:topLinePunct/>
        <w:autoSpaceDE/>
        <w:autoSpaceDN/>
        <w:bidi w:val="0"/>
        <w:adjustRightInd w:val="0"/>
        <w:snapToGrid/>
        <w:spacing w:line="360" w:lineRule="auto"/>
        <w:ind w:firstLine="0"/>
        <w:jc w:val="center"/>
        <w:textAlignment w:val="auto"/>
        <w:rPr>
          <w:rFonts w:hint="eastAsia" w:ascii="华文中宋" w:hAnsi="华文中宋" w:eastAsia="华文中宋"/>
          <w:sz w:val="48"/>
          <w:szCs w:val="48"/>
          <w:lang w:eastAsia="zh-CN"/>
        </w:rPr>
      </w:pPr>
      <w:r>
        <w:rPr>
          <w:rFonts w:hint="eastAsia" w:ascii="华文中宋" w:hAnsi="华文中宋" w:eastAsia="华文中宋"/>
          <w:sz w:val="48"/>
          <w:szCs w:val="48"/>
          <w:lang w:eastAsia="zh-CN"/>
        </w:rPr>
        <w:t>（</w:t>
      </w:r>
      <w:r>
        <w:rPr>
          <w:rFonts w:hint="eastAsia" w:ascii="华文中宋" w:hAnsi="华文中宋" w:eastAsia="华文中宋"/>
          <w:sz w:val="48"/>
          <w:szCs w:val="48"/>
          <w:lang w:val="en-US" w:eastAsia="zh-CN"/>
        </w:rPr>
        <w:t>新媒体运营与短视频制作方向</w:t>
      </w:r>
      <w:r>
        <w:rPr>
          <w:rFonts w:hint="eastAsia" w:ascii="华文中宋" w:hAnsi="华文中宋" w:eastAsia="华文中宋"/>
          <w:sz w:val="48"/>
          <w:szCs w:val="48"/>
          <w:lang w:eastAsia="zh-CN"/>
        </w:rPr>
        <w:t>）</w:t>
      </w:r>
    </w:p>
    <w:p>
      <w:pPr>
        <w:keepNext w:val="0"/>
        <w:keepLines w:val="0"/>
        <w:pageBreakBefore w:val="0"/>
        <w:widowControl w:val="0"/>
        <w:kinsoku/>
        <w:wordWrap/>
        <w:overflowPunct/>
        <w:topLinePunct/>
        <w:autoSpaceDE/>
        <w:autoSpaceDN/>
        <w:bidi w:val="0"/>
        <w:adjustRightInd w:val="0"/>
        <w:spacing w:line="480" w:lineRule="auto"/>
        <w:ind w:firstLine="0"/>
        <w:jc w:val="center"/>
        <w:textAlignment w:val="auto"/>
        <w:rPr>
          <w:rFonts w:hint="eastAsia" w:ascii="华文中宋" w:hAnsi="华文中宋" w:eastAsia="华文中宋"/>
          <w:sz w:val="48"/>
          <w:szCs w:val="48"/>
          <w:lang w:eastAsia="zh-CN"/>
        </w:rPr>
      </w:pPr>
    </w:p>
    <w:p>
      <w:pPr>
        <w:spacing w:line="480" w:lineRule="auto"/>
        <w:ind w:firstLine="0"/>
        <w:jc w:val="center"/>
        <w:rPr>
          <w:rFonts w:hint="eastAsia" w:ascii="华文中宋" w:hAnsi="华文中宋" w:eastAsia="华文中宋"/>
          <w:sz w:val="48"/>
          <w:szCs w:val="48"/>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napToGrid/>
        <w:spacing w:line="240" w:lineRule="auto"/>
        <w:ind w:firstLine="0"/>
        <w:jc w:val="center"/>
        <w:rPr>
          <w:rFonts w:hint="eastAsia" w:ascii="黑体" w:hAnsi="宋体" w:eastAsia="黑体"/>
          <w:sz w:val="36"/>
          <w:szCs w:val="36"/>
        </w:rPr>
      </w:pPr>
      <w:r>
        <w:rPr>
          <w:rFonts w:hint="eastAsia" w:ascii="黑体" w:hAnsi="宋体" w:eastAsia="黑体"/>
          <w:sz w:val="36"/>
          <w:szCs w:val="36"/>
        </w:rPr>
        <w:t>河南省驻马店财经学校</w:t>
      </w:r>
    </w:p>
    <w:p>
      <w:pPr>
        <w:snapToGrid/>
        <w:spacing w:line="240" w:lineRule="auto"/>
        <w:ind w:firstLine="0"/>
        <w:jc w:val="center"/>
        <w:rPr>
          <w:rFonts w:hint="eastAsia" w:ascii="黑体" w:hAnsi="黑体" w:eastAsia="黑体" w:cs="黑体"/>
          <w:sz w:val="32"/>
          <w:szCs w:val="32"/>
        </w:rPr>
        <w:sectPr>
          <w:headerReference r:id="rId5" w:type="default"/>
          <w:footerReference r:id="rId6" w:type="default"/>
          <w:footerReference r:id="rId7" w:type="even"/>
          <w:pgSz w:w="11907" w:h="16840"/>
          <w:pgMar w:top="1134" w:right="1134" w:bottom="1134" w:left="1134" w:header="851" w:footer="1247" w:gutter="0"/>
          <w:cols w:space="720" w:num="1"/>
          <w:docGrid w:type="linesAndChars" w:linePitch="400" w:charSpace="0"/>
        </w:sectPr>
      </w:pPr>
      <w:r>
        <w:rPr>
          <w:rFonts w:hint="eastAsia" w:ascii="黑体" w:hAnsi="宋体" w:eastAsia="黑体"/>
          <w:sz w:val="36"/>
          <w:szCs w:val="36"/>
          <w:lang w:val="en-US" w:eastAsia="zh-CN"/>
        </w:rPr>
        <w:t>2024</w:t>
      </w:r>
      <w:r>
        <w:rPr>
          <w:rFonts w:hint="eastAsia" w:ascii="黑体" w:hAnsi="宋体" w:eastAsia="黑体"/>
          <w:sz w:val="36"/>
          <w:szCs w:val="36"/>
        </w:rPr>
        <w:t>年</w:t>
      </w:r>
      <w:r>
        <w:rPr>
          <w:rFonts w:hint="eastAsia" w:ascii="黑体" w:hAnsi="宋体" w:eastAsia="黑体"/>
          <w:sz w:val="36"/>
          <w:szCs w:val="36"/>
          <w:lang w:val="en-US" w:eastAsia="zh-CN"/>
        </w:rPr>
        <w:t>6</w:t>
      </w:r>
      <w:r>
        <w:rPr>
          <w:rFonts w:hint="eastAsia" w:ascii="黑体" w:hAnsi="宋体" w:eastAsia="黑体"/>
          <w:sz w:val="36"/>
          <w:szCs w:val="36"/>
        </w:rPr>
        <w:t>月</w:t>
      </w:r>
    </w:p>
    <w:p>
      <w:pPr>
        <w:snapToGrid/>
        <w:spacing w:line="240" w:lineRule="auto"/>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    录</w:t>
      </w:r>
      <w:bookmarkStart w:id="5" w:name="_GoBack"/>
      <w:bookmarkEnd w:id="5"/>
    </w:p>
    <w:p>
      <w:pPr>
        <w:snapToGrid/>
        <w:spacing w:line="240" w:lineRule="auto"/>
        <w:jc w:val="center"/>
        <w:rPr>
          <w:rFonts w:hint="eastAsia" w:ascii="黑体" w:hAnsi="黑体" w:eastAsia="黑体" w:cs="黑体"/>
          <w:sz w:val="32"/>
          <w:szCs w:val="32"/>
        </w:rPr>
      </w:pPr>
    </w:p>
    <w:p>
      <w:pPr>
        <w:pStyle w:val="101"/>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3</w:t>
      </w:r>
      <w:r>
        <w:rPr>
          <w:rFonts w:ascii="Times New Roman" w:hAnsi="Times New Roman"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3</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3</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3</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lang w:val="en-US" w:eastAsia="zh-CN"/>
        </w:rPr>
        <w:t>4</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六、课程设置及要求</w:t>
      </w:r>
      <w:r>
        <w:rPr>
          <w:rFonts w:hint="eastAsia" w:ascii="宋体" w:hAnsi="宋体" w:eastAsia="宋体"/>
          <w:sz w:val="24"/>
          <w:szCs w:val="24"/>
          <w:lang w:val="en-US" w:eastAsia="zh-CN"/>
        </w:rPr>
        <w:t xml:space="preserve"> </w:t>
      </w:r>
      <w:r>
        <w:rPr>
          <w:rFonts w:hint="eastAsia" w:ascii="宋体" w:hAnsi="宋体" w:eastAsia="宋体"/>
          <w:spacing w:val="0"/>
          <w:sz w:val="24"/>
          <w:szCs w:val="24"/>
        </w:rPr>
        <w:t>………………………………………………………………………</w:t>
      </w:r>
      <w:r>
        <w:rPr>
          <w:rFonts w:ascii="Times New Roman" w:hAnsi="Viner Hand ITC" w:eastAsia="黑体"/>
          <w:sz w:val="24"/>
          <w:szCs w:val="24"/>
        </w:rPr>
        <w:t>（</w:t>
      </w:r>
      <w:r>
        <w:rPr>
          <w:rFonts w:hint="eastAsia" w:ascii="Times New Roman" w:hAnsi="Times New Roman" w:eastAsia="黑体"/>
          <w:sz w:val="24"/>
          <w:szCs w:val="24"/>
        </w:rPr>
        <w:t>3</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rPr>
        <w:t>5</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5</w:t>
      </w:r>
      <w:r>
        <w:rPr>
          <w:rFonts w:ascii="Times New Roman" w:hAnsi="Times New Roman"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九、毕业要求………………………………………………………………………………</w:t>
      </w:r>
      <w:r>
        <w:rPr>
          <w:rFonts w:ascii="Times New Roman" w:hAnsi="Viner Hand ITC" w:eastAsia="黑体"/>
          <w:sz w:val="24"/>
          <w:szCs w:val="24"/>
        </w:rPr>
        <w:t>（</w:t>
      </w:r>
      <w:r>
        <w:rPr>
          <w:rFonts w:ascii="Times New Roman" w:hAnsi="Times New Roman" w:eastAsia="黑体"/>
          <w:sz w:val="24"/>
          <w:szCs w:val="24"/>
        </w:rPr>
        <w:t>1</w:t>
      </w:r>
      <w:r>
        <w:rPr>
          <w:rFonts w:hint="eastAsia" w:ascii="Times New Roman" w:hAnsi="Times New Roman" w:eastAsia="黑体"/>
          <w:sz w:val="24"/>
          <w:szCs w:val="24"/>
        </w:rPr>
        <w:t>4</w:t>
      </w:r>
      <w:r>
        <w:rPr>
          <w:rFonts w:ascii="Times New Roman" w:hAnsi="Viner Hand ITC" w:eastAsia="黑体"/>
          <w:sz w:val="24"/>
          <w:szCs w:val="24"/>
        </w:rPr>
        <w:t>）</w:t>
      </w:r>
    </w:p>
    <w:p>
      <w:pPr>
        <w:pStyle w:val="83"/>
        <w:spacing w:before="800" w:beforeLines="200" w:after="800" w:afterLines="200"/>
        <w:rPr>
          <w:rFonts w:hint="eastAsia"/>
          <w:u w:val="none"/>
        </w:rPr>
      </w:pPr>
    </w:p>
    <w:p>
      <w:pPr>
        <w:pStyle w:val="83"/>
        <w:spacing w:before="800" w:beforeLines="200" w:after="800" w:afterLines="200"/>
        <w:rPr>
          <w:rFonts w:hint="eastAsia"/>
          <w:u w:val="none"/>
        </w:rPr>
      </w:pPr>
    </w:p>
    <w:p>
      <w:pPr>
        <w:pStyle w:val="83"/>
        <w:spacing w:before="800" w:beforeLines="200" w:after="800" w:afterLines="200"/>
        <w:rPr>
          <w:rFonts w:hint="eastAsia"/>
          <w:u w:val="none"/>
        </w:rPr>
      </w:pPr>
    </w:p>
    <w:p>
      <w:pPr>
        <w:pStyle w:val="101"/>
        <w:spacing w:before="0" w:beforeLines="0" w:after="0" w:afterLines="0" w:line="700" w:lineRule="exact"/>
        <w:ind w:firstLine="0"/>
        <w:jc w:val="center"/>
        <w:rPr>
          <w:rFonts w:hint="eastAsia"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hint="eastAsia" w:ascii="华文中宋" w:hAnsi="华文中宋" w:eastAsia="华文中宋"/>
          <w:sz w:val="44"/>
          <w:szCs w:val="44"/>
        </w:rPr>
      </w:pPr>
      <w:r>
        <w:rPr>
          <w:rFonts w:hint="eastAsia" w:ascii="华文中宋" w:hAnsi="华文中宋" w:eastAsia="华文中宋"/>
          <w:sz w:val="44"/>
          <w:szCs w:val="44"/>
          <w:lang w:val="en-US" w:eastAsia="zh-CN"/>
        </w:rPr>
        <w:t>数字影像技术</w:t>
      </w:r>
      <w:r>
        <w:rPr>
          <w:rFonts w:hint="eastAsia" w:ascii="华文中宋" w:hAnsi="华文中宋" w:eastAsia="华文中宋"/>
          <w:sz w:val="44"/>
          <w:szCs w:val="44"/>
        </w:rPr>
        <w:t>专业人才培养方案</w:t>
      </w:r>
    </w:p>
    <w:p>
      <w:pPr>
        <w:pStyle w:val="101"/>
        <w:spacing w:before="0" w:beforeLines="0" w:after="0" w:afterLines="0" w:line="700" w:lineRule="exact"/>
        <w:ind w:firstLine="0"/>
        <w:jc w:val="center"/>
        <w:rPr>
          <w:rFonts w:hint="eastAsia" w:ascii="华文中宋" w:hAnsi="华文中宋" w:eastAsia="华文中宋"/>
          <w:sz w:val="44"/>
          <w:szCs w:val="44"/>
          <w:lang w:eastAsia="zh-CN"/>
        </w:rPr>
      </w:pPr>
      <w:r>
        <w:rPr>
          <w:rFonts w:hint="eastAsia" w:ascii="华文中宋" w:hAnsi="华文中宋" w:eastAsia="华文中宋"/>
          <w:sz w:val="44"/>
          <w:szCs w:val="44"/>
          <w:lang w:eastAsia="zh-CN"/>
        </w:rPr>
        <w:t>（</w:t>
      </w:r>
      <w:r>
        <w:rPr>
          <w:rFonts w:hint="eastAsia" w:ascii="华文中宋" w:hAnsi="华文中宋" w:eastAsia="华文中宋"/>
          <w:sz w:val="44"/>
          <w:szCs w:val="44"/>
          <w:lang w:val="en-US" w:eastAsia="zh-CN"/>
        </w:rPr>
        <w:t>新媒体运营与短视频制作方向</w:t>
      </w:r>
      <w:r>
        <w:rPr>
          <w:rFonts w:hint="eastAsia" w:ascii="华文中宋" w:hAnsi="华文中宋" w:eastAsia="华文中宋"/>
          <w:sz w:val="44"/>
          <w:szCs w:val="44"/>
          <w:lang w:eastAsia="zh-CN"/>
        </w:rPr>
        <w:t>）</w:t>
      </w:r>
    </w:p>
    <w:p>
      <w:pPr>
        <w:pStyle w:val="101"/>
        <w:spacing w:before="0" w:beforeLines="0" w:after="0" w:afterLines="0" w:line="240" w:lineRule="auto"/>
        <w:rPr>
          <w:rFonts w:hint="eastAsia"/>
        </w:rPr>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eastAsia="黑体"/>
          <w:sz w:val="30"/>
          <w:szCs w:val="30"/>
        </w:rPr>
      </w:pPr>
      <w:r>
        <w:rPr>
          <w:rFonts w:hint="eastAsia" w:ascii="黑体" w:hAnsi="黑体" w:eastAsia="黑体"/>
          <w:sz w:val="30"/>
          <w:szCs w:val="30"/>
        </w:rPr>
        <w:t>一、专业名称及代码</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sz w:val="28"/>
          <w:szCs w:val="28"/>
        </w:rPr>
      </w:pPr>
      <w:r>
        <w:rPr>
          <w:rFonts w:hint="eastAsia" w:ascii="仿宋" w:hAnsi="仿宋" w:eastAsia="仿宋" w:cs="仿宋"/>
          <w:sz w:val="30"/>
          <w:szCs w:val="30"/>
        </w:rPr>
        <w:t>专业名称：</w:t>
      </w:r>
      <w:r>
        <w:rPr>
          <w:rFonts w:hint="eastAsia" w:ascii="仿宋" w:hAnsi="仿宋" w:eastAsia="仿宋" w:cs="仿宋"/>
          <w:sz w:val="30"/>
          <w:szCs w:val="30"/>
          <w:lang w:val="en-US" w:eastAsia="zh-CN"/>
        </w:rPr>
        <w:t>数字影像技术</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color w:val="FF0000"/>
          <w:sz w:val="30"/>
          <w:szCs w:val="30"/>
        </w:rPr>
      </w:pPr>
      <w:r>
        <w:rPr>
          <w:rFonts w:hint="eastAsia" w:ascii="仿宋" w:hAnsi="仿宋" w:eastAsia="仿宋" w:cs="仿宋"/>
          <w:sz w:val="30"/>
          <w:szCs w:val="30"/>
        </w:rPr>
        <w:t>专业代码：</w:t>
      </w:r>
      <w:r>
        <w:rPr>
          <w:rFonts w:hint="eastAsia" w:ascii="仿宋" w:hAnsi="仿宋" w:eastAsia="仿宋" w:cs="仿宋"/>
          <w:sz w:val="30"/>
          <w:szCs w:val="30"/>
          <w:lang w:val="en-US" w:eastAsia="zh-CN"/>
        </w:rPr>
        <w:t>750103</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sz w:val="30"/>
          <w:szCs w:val="30"/>
        </w:rPr>
      </w:pPr>
      <w:r>
        <w:rPr>
          <w:rFonts w:hint="eastAsia" w:ascii="黑体" w:hAnsi="黑体" w:eastAsia="黑体"/>
          <w:sz w:val="30"/>
          <w:szCs w:val="30"/>
        </w:rPr>
        <w:t>二、入学要求</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初中毕业或具有同等学力者。</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sz w:val="30"/>
          <w:szCs w:val="30"/>
        </w:rPr>
      </w:pPr>
      <w:r>
        <w:rPr>
          <w:rFonts w:hint="eastAsia" w:ascii="黑体" w:hAnsi="黑体" w:eastAsia="黑体"/>
          <w:sz w:val="30"/>
          <w:szCs w:val="30"/>
        </w:rPr>
        <w:t>三、修业年限</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基本学制3年</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sz w:val="30"/>
          <w:szCs w:val="30"/>
        </w:rPr>
      </w:pPr>
      <w:r>
        <w:rPr>
          <w:rFonts w:hint="eastAsia" w:ascii="黑体" w:hAnsi="黑体" w:eastAsia="黑体"/>
          <w:sz w:val="30"/>
          <w:szCs w:val="30"/>
        </w:rPr>
        <w:t>四、职业面向</w:t>
      </w:r>
    </w:p>
    <w:p>
      <w:pPr>
        <w:pStyle w:val="128"/>
        <w:shd w:val="clear" w:color="auto" w:fill="auto"/>
        <w:spacing w:line="180" w:lineRule="exact"/>
        <w:ind w:right="120"/>
        <w:jc w:val="both"/>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Spec="center" w:tblpY="184"/>
        <w:tblOverlap w:val="never"/>
        <w:tblW w:w="9543" w:type="dxa"/>
        <w:jc w:val="center"/>
        <w:tblLayout w:type="fixed"/>
        <w:tblCellMar>
          <w:top w:w="0" w:type="dxa"/>
          <w:left w:w="10" w:type="dxa"/>
          <w:bottom w:w="0" w:type="dxa"/>
          <w:right w:w="10" w:type="dxa"/>
        </w:tblCellMar>
      </w:tblPr>
      <w:tblGrid>
        <w:gridCol w:w="947"/>
        <w:gridCol w:w="2124"/>
        <w:gridCol w:w="3593"/>
        <w:gridCol w:w="2879"/>
      </w:tblGrid>
      <w:tr>
        <w:tblPrEx>
          <w:tblCellMar>
            <w:top w:w="0" w:type="dxa"/>
            <w:left w:w="10" w:type="dxa"/>
            <w:bottom w:w="0" w:type="dxa"/>
            <w:right w:w="10" w:type="dxa"/>
          </w:tblCellMar>
        </w:tblPrEx>
        <w:trPr>
          <w:trHeight w:val="613" w:hRule="exact"/>
          <w:jc w:val="center"/>
        </w:trPr>
        <w:tc>
          <w:tcPr>
            <w:tcW w:w="947"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2124"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3593"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879" w:type="dxa"/>
            <w:tcBorders>
              <w:top w:val="single" w:color="auto" w:sz="4" w:space="0"/>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567" w:hRule="exact"/>
          <w:jc w:val="center"/>
        </w:trPr>
        <w:tc>
          <w:tcPr>
            <w:tcW w:w="947"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190" w:lineRule="exact"/>
              <w:jc w:val="center"/>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2124" w:type="dxa"/>
            <w:tcBorders>
              <w:top w:val="single" w:color="auto" w:sz="4" w:space="0"/>
              <w:left w:val="single" w:color="auto" w:sz="4" w:space="0"/>
            </w:tcBorders>
            <w:shd w:val="clear" w:color="auto" w:fill="FFFFFF"/>
            <w:noWrap w:val="0"/>
            <w:vAlign w:val="center"/>
          </w:tcPr>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napToGrid/>
                <w:color w:val="000000"/>
                <w:spacing w:val="0"/>
                <w:kern w:val="0"/>
                <w:sz w:val="24"/>
                <w:szCs w:val="24"/>
                <w:lang w:val="zh-TW" w:eastAsia="zh-TW" w:bidi="zh-TW"/>
              </w:rPr>
            </w:pPr>
            <w:r>
              <w:rPr>
                <w:rFonts w:hint="eastAsia" w:ascii="仿宋" w:hAnsi="仿宋" w:eastAsia="仿宋" w:cs="仿宋"/>
                <w:sz w:val="24"/>
                <w:szCs w:val="24"/>
              </w:rPr>
              <w:t>影视剪辑调色</w:t>
            </w:r>
          </w:p>
        </w:tc>
        <w:tc>
          <w:tcPr>
            <w:tcW w:w="3593" w:type="dxa"/>
            <w:tcBorders>
              <w:top w:val="single" w:color="auto" w:sz="4" w:space="0"/>
              <w:left w:val="single" w:color="auto" w:sz="4" w:space="0"/>
            </w:tcBorders>
            <w:shd w:val="clear" w:color="auto" w:fill="FFFFFF"/>
            <w:noWrap w:val="0"/>
            <w:vAlign w:val="center"/>
          </w:tcPr>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napToGrid/>
                <w:color w:val="000000"/>
                <w:spacing w:val="0"/>
                <w:kern w:val="0"/>
                <w:sz w:val="24"/>
                <w:szCs w:val="24"/>
                <w:lang w:val="zh-TW" w:eastAsia="zh-TW" w:bidi="zh-TW"/>
              </w:rPr>
            </w:pPr>
            <w:r>
              <w:rPr>
                <w:rFonts w:hint="eastAsia" w:ascii="仿宋" w:hAnsi="仿宋" w:eastAsia="仿宋" w:cs="仿宋"/>
                <w:sz w:val="24"/>
                <w:szCs w:val="24"/>
              </w:rPr>
              <w:t>影视调色师</w:t>
            </w:r>
          </w:p>
        </w:tc>
        <w:tc>
          <w:tcPr>
            <w:tcW w:w="2879" w:type="dxa"/>
            <w:vMerge w:val="restart"/>
            <w:tcBorders>
              <w:top w:val="single" w:color="auto" w:sz="4" w:space="0"/>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spacing w:val="0"/>
                <w:sz w:val="24"/>
                <w:szCs w:val="24"/>
                <w:lang w:val="zh-TW" w:eastAsia="zh-TW" w:bidi="zh-TW"/>
              </w:rPr>
            </w:pPr>
          </w:p>
          <w:p>
            <w:pPr>
              <w:bidi w:val="0"/>
              <w:jc w:val="center"/>
              <w:rPr>
                <w:rFonts w:hint="eastAsia"/>
                <w:lang w:val="zh-TW" w:eastAsia="zh-TW"/>
              </w:rPr>
            </w:pP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OSTA国家劳动部技能认证</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ACAA数字艺术认证</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Adobe影视特效师认证</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多媒体设计师证书</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广播电视编辑记者证</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ADOBE认证设计师证书</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动漫职业技能认证证书</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影视后期设计师证书</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数字艺术设计师证书</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高级影视制作师</w:t>
            </w:r>
          </w:p>
          <w:p>
            <w:pPr>
              <w:tabs>
                <w:tab w:val="left" w:pos="732"/>
              </w:tabs>
              <w:bidi w:val="0"/>
              <w:jc w:val="center"/>
              <w:rPr>
                <w:rFonts w:hint="eastAsia" w:eastAsia="宋体"/>
                <w:lang w:val="zh-TW" w:eastAsia="zh-CN"/>
              </w:rPr>
            </w:pPr>
            <w:r>
              <w:rPr>
                <w:rFonts w:hint="eastAsia" w:ascii="仿宋" w:hAnsi="仿宋" w:eastAsia="仿宋" w:cs="仿宋"/>
                <w:sz w:val="24"/>
                <w:szCs w:val="24"/>
                <w:lang w:val="zh-TW"/>
              </w:rPr>
              <w:t>广告师</w:t>
            </w:r>
          </w:p>
        </w:tc>
      </w:tr>
      <w:tr>
        <w:tblPrEx>
          <w:tblCellMar>
            <w:top w:w="0" w:type="dxa"/>
            <w:left w:w="10" w:type="dxa"/>
            <w:bottom w:w="0" w:type="dxa"/>
            <w:right w:w="10" w:type="dxa"/>
          </w:tblCellMar>
        </w:tblPrEx>
        <w:trPr>
          <w:trHeight w:val="2364" w:hRule="exact"/>
          <w:jc w:val="center"/>
        </w:trPr>
        <w:tc>
          <w:tcPr>
            <w:tcW w:w="947" w:type="dxa"/>
            <w:tcBorders>
              <w:top w:val="single" w:color="auto" w:sz="4" w:space="0"/>
              <w:left w:val="single" w:color="auto" w:sz="4" w:space="0"/>
              <w:bottom w:val="single" w:color="auto" w:sz="4" w:space="0"/>
            </w:tcBorders>
            <w:shd w:val="clear" w:color="auto" w:fill="FFFFFF"/>
            <w:noWrap w:val="0"/>
            <w:vAlign w:val="center"/>
          </w:tcPr>
          <w:p>
            <w:pPr>
              <w:pStyle w:val="126"/>
              <w:shd w:val="clear" w:color="auto" w:fill="auto"/>
              <w:spacing w:before="0" w:after="0" w:line="190" w:lineRule="exact"/>
              <w:jc w:val="center"/>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2124" w:type="dxa"/>
            <w:tcBorders>
              <w:top w:val="single" w:color="auto" w:sz="4" w:space="0"/>
              <w:left w:val="single" w:color="auto" w:sz="4" w:space="0"/>
              <w:bottom w:val="single" w:color="auto" w:sz="4" w:space="0"/>
            </w:tcBorders>
            <w:shd w:val="clear" w:color="auto" w:fill="FFFFFF"/>
            <w:noWrap w:val="0"/>
            <w:vAlign w:val="center"/>
          </w:tcPr>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napToGrid/>
                <w:color w:val="000000"/>
                <w:spacing w:val="0"/>
                <w:kern w:val="0"/>
                <w:sz w:val="24"/>
                <w:szCs w:val="24"/>
                <w:lang w:val="zh-TW" w:eastAsia="zh-TW" w:bidi="zh-TW"/>
              </w:rPr>
            </w:pPr>
            <w:r>
              <w:rPr>
                <w:rFonts w:hint="eastAsia" w:ascii="仿宋" w:hAnsi="仿宋" w:eastAsia="仿宋" w:cs="仿宋"/>
                <w:sz w:val="24"/>
                <w:szCs w:val="24"/>
              </w:rPr>
              <w:t>AE影视合成</w:t>
            </w:r>
          </w:p>
        </w:tc>
        <w:tc>
          <w:tcPr>
            <w:tcW w:w="3593" w:type="dxa"/>
            <w:tcBorders>
              <w:top w:val="single" w:color="auto" w:sz="4" w:space="0"/>
              <w:left w:val="single" w:color="auto" w:sz="4" w:space="0"/>
              <w:bottom w:val="single" w:color="auto" w:sz="4" w:space="0"/>
            </w:tcBorders>
            <w:shd w:val="clear" w:color="auto" w:fill="FFFFFF"/>
            <w:noWrap w:val="0"/>
            <w:vAlign w:val="center"/>
          </w:tcPr>
          <w:p>
            <w:pPr>
              <w:pStyle w:val="126"/>
              <w:keepNext/>
              <w:keepLines w:val="0"/>
              <w:pageBreakBefore w:val="0"/>
              <w:kinsoku/>
              <w:wordWrap/>
              <w:autoSpaceDE/>
              <w:autoSpaceDN/>
              <w:bidi w:val="0"/>
              <w:snapToGrid w:val="0"/>
              <w:spacing w:line="480" w:lineRule="exact"/>
              <w:ind w:firstLineChars="0"/>
              <w:jc w:val="center"/>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合成师</w:t>
            </w:r>
          </w:p>
          <w:p>
            <w:pPr>
              <w:pStyle w:val="126"/>
              <w:keepNext/>
              <w:keepLines w:val="0"/>
              <w:pageBreakBefore w:val="0"/>
              <w:kinsoku/>
              <w:wordWrap/>
              <w:autoSpaceDE/>
              <w:autoSpaceDN/>
              <w:bidi w:val="0"/>
              <w:snapToGrid w:val="0"/>
              <w:spacing w:line="480" w:lineRule="exact"/>
              <w:ind w:firstLineChars="0"/>
              <w:jc w:val="center"/>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追踪师</w:t>
            </w:r>
          </w:p>
          <w:p>
            <w:pPr>
              <w:pStyle w:val="126"/>
              <w:keepNext/>
              <w:keepLines w:val="0"/>
              <w:pageBreakBefore w:val="0"/>
              <w:kinsoku/>
              <w:wordWrap/>
              <w:autoSpaceDE/>
              <w:autoSpaceDN/>
              <w:bidi w:val="0"/>
              <w:snapToGrid w:val="0"/>
              <w:spacing w:line="480" w:lineRule="exact"/>
              <w:ind w:firstLineChars="0"/>
              <w:jc w:val="center"/>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擦图师</w:t>
            </w:r>
          </w:p>
          <w:p>
            <w:pPr>
              <w:pStyle w:val="126"/>
              <w:keepNext/>
              <w:keepLines w:val="0"/>
              <w:pageBreakBefore w:val="0"/>
              <w:kinsoku/>
              <w:wordWrap/>
              <w:autoSpaceDE/>
              <w:autoSpaceDN/>
              <w:bidi w:val="0"/>
              <w:snapToGrid w:val="0"/>
              <w:spacing w:line="480" w:lineRule="exact"/>
              <w:ind w:firstLineChars="0"/>
              <w:jc w:val="center"/>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抠图助理师追踪师</w:t>
            </w:r>
          </w:p>
          <w:p>
            <w:pPr>
              <w:pStyle w:val="126"/>
              <w:keepNext/>
              <w:keepLines w:val="0"/>
              <w:pageBreakBefore w:val="0"/>
              <w:kinsoku/>
              <w:wordWrap/>
              <w:autoSpaceDE/>
              <w:autoSpaceDN/>
              <w:bidi w:val="0"/>
              <w:snapToGrid w:val="0"/>
              <w:spacing w:line="480" w:lineRule="exact"/>
              <w:ind w:firstLineChars="0"/>
              <w:jc w:val="center"/>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擦图师</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napToGrid/>
                <w:color w:val="000000"/>
                <w:spacing w:val="0"/>
                <w:kern w:val="0"/>
                <w:sz w:val="24"/>
                <w:szCs w:val="24"/>
                <w:lang w:val="zh-TW" w:eastAsia="zh-TW" w:bidi="zh-TW"/>
              </w:rPr>
            </w:pPr>
            <w:r>
              <w:rPr>
                <w:rFonts w:hint="eastAsia" w:ascii="仿宋" w:hAnsi="仿宋" w:eastAsia="仿宋" w:cs="仿宋"/>
                <w:spacing w:val="0"/>
                <w:sz w:val="24"/>
                <w:szCs w:val="24"/>
              </w:rPr>
              <w:t>抠图助理师</w:t>
            </w:r>
          </w:p>
        </w:tc>
        <w:tc>
          <w:tcPr>
            <w:tcW w:w="2879" w:type="dxa"/>
            <w:vMerge w:val="continue"/>
            <w:tcBorders>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spacing w:val="0"/>
                <w:sz w:val="24"/>
                <w:szCs w:val="24"/>
                <w:lang w:val="zh-TW" w:eastAsia="zh-TW" w:bidi="zh-TW"/>
              </w:rPr>
            </w:pPr>
          </w:p>
        </w:tc>
      </w:tr>
      <w:tr>
        <w:tblPrEx>
          <w:tblCellMar>
            <w:top w:w="0" w:type="dxa"/>
            <w:left w:w="10" w:type="dxa"/>
            <w:bottom w:w="0" w:type="dxa"/>
            <w:right w:w="10" w:type="dxa"/>
          </w:tblCellMar>
        </w:tblPrEx>
        <w:trPr>
          <w:trHeight w:val="927" w:hRule="exact"/>
          <w:jc w:val="center"/>
        </w:trPr>
        <w:tc>
          <w:tcPr>
            <w:tcW w:w="947" w:type="dxa"/>
            <w:tcBorders>
              <w:top w:val="single" w:color="auto" w:sz="4" w:space="0"/>
              <w:left w:val="single" w:color="auto" w:sz="4" w:space="0"/>
              <w:bottom w:val="single" w:color="auto" w:sz="4" w:space="0"/>
            </w:tcBorders>
            <w:shd w:val="clear" w:color="auto" w:fill="FFFFFF"/>
            <w:noWrap w:val="0"/>
            <w:vAlign w:val="center"/>
          </w:tcPr>
          <w:p>
            <w:pPr>
              <w:pStyle w:val="126"/>
              <w:shd w:val="clear" w:color="auto" w:fill="auto"/>
              <w:spacing w:before="0" w:after="0" w:line="190" w:lineRule="exact"/>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w:t>
            </w:r>
          </w:p>
        </w:tc>
        <w:tc>
          <w:tcPr>
            <w:tcW w:w="2124" w:type="dxa"/>
            <w:tcBorders>
              <w:top w:val="single" w:color="auto" w:sz="4" w:space="0"/>
              <w:left w:val="single" w:color="auto" w:sz="4" w:space="0"/>
              <w:bottom w:val="single" w:color="auto" w:sz="4" w:space="0"/>
            </w:tcBorders>
            <w:shd w:val="clear" w:color="auto" w:fill="FFFFFF"/>
            <w:noWrap w:val="0"/>
            <w:vAlign w:val="center"/>
          </w:tcPr>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z w:val="24"/>
                <w:szCs w:val="24"/>
              </w:rPr>
              <w:t>摄影摄像</w:t>
            </w:r>
          </w:p>
        </w:tc>
        <w:tc>
          <w:tcPr>
            <w:tcW w:w="3593" w:type="dxa"/>
            <w:tcBorders>
              <w:top w:val="single" w:color="auto" w:sz="4" w:space="0"/>
              <w:left w:val="single" w:color="auto" w:sz="4" w:space="0"/>
              <w:bottom w:val="single" w:color="auto" w:sz="4" w:space="0"/>
            </w:tcBorders>
            <w:shd w:val="clear" w:color="auto" w:fill="FFFFFF"/>
            <w:noWrap w:val="0"/>
            <w:vAlign w:val="center"/>
          </w:tcPr>
          <w:p>
            <w:pPr>
              <w:pStyle w:val="126"/>
              <w:keepNext/>
              <w:keepLines w:val="0"/>
              <w:pageBreakBefore w:val="0"/>
              <w:shd w:val="clear" w:color="auto" w:fill="auto"/>
              <w:kinsoku/>
              <w:wordWrap/>
              <w:autoSpaceDE/>
              <w:autoSpaceDN/>
              <w:bidi w:val="0"/>
              <w:snapToGrid w:val="0"/>
              <w:spacing w:before="0" w:after="0" w:line="480" w:lineRule="exact"/>
              <w:ind w:firstLineChars="0"/>
              <w:jc w:val="center"/>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摄影师</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pacing w:val="0"/>
                <w:sz w:val="24"/>
                <w:szCs w:val="24"/>
              </w:rPr>
              <w:t>摄像师</w:t>
            </w:r>
          </w:p>
        </w:tc>
        <w:tc>
          <w:tcPr>
            <w:tcW w:w="2879" w:type="dxa"/>
            <w:vMerge w:val="continue"/>
            <w:tcBorders>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spacing w:val="0"/>
                <w:sz w:val="24"/>
                <w:szCs w:val="24"/>
                <w:lang w:val="zh-TW" w:eastAsia="zh-TW" w:bidi="zh-TW"/>
              </w:rPr>
            </w:pPr>
          </w:p>
        </w:tc>
      </w:tr>
      <w:tr>
        <w:tblPrEx>
          <w:tblCellMar>
            <w:top w:w="0" w:type="dxa"/>
            <w:left w:w="10" w:type="dxa"/>
            <w:bottom w:w="0" w:type="dxa"/>
            <w:right w:w="10" w:type="dxa"/>
          </w:tblCellMar>
        </w:tblPrEx>
        <w:trPr>
          <w:trHeight w:val="842" w:hRule="exact"/>
          <w:jc w:val="center"/>
        </w:trPr>
        <w:tc>
          <w:tcPr>
            <w:tcW w:w="947" w:type="dxa"/>
            <w:tcBorders>
              <w:top w:val="single" w:color="auto" w:sz="4" w:space="0"/>
              <w:left w:val="single" w:color="auto" w:sz="4" w:space="0"/>
              <w:bottom w:val="single" w:color="auto" w:sz="4" w:space="0"/>
            </w:tcBorders>
            <w:shd w:val="clear" w:color="auto" w:fill="FFFFFF"/>
            <w:noWrap w:val="0"/>
            <w:vAlign w:val="center"/>
          </w:tcPr>
          <w:p>
            <w:pPr>
              <w:pStyle w:val="126"/>
              <w:shd w:val="clear" w:color="auto" w:fill="auto"/>
              <w:spacing w:before="0" w:after="0" w:line="190" w:lineRule="exact"/>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4</w:t>
            </w:r>
          </w:p>
        </w:tc>
        <w:tc>
          <w:tcPr>
            <w:tcW w:w="2124" w:type="dxa"/>
            <w:tcBorders>
              <w:top w:val="single" w:color="auto" w:sz="4" w:space="0"/>
              <w:left w:val="single" w:color="auto" w:sz="4" w:space="0"/>
              <w:bottom w:val="single" w:color="auto" w:sz="4" w:space="0"/>
            </w:tcBorders>
            <w:shd w:val="clear" w:color="auto" w:fill="FFFFFF"/>
            <w:noWrap w:val="0"/>
            <w:vAlign w:val="center"/>
          </w:tcPr>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napToGrid/>
                <w:spacing w:val="20"/>
                <w:kern w:val="0"/>
                <w:sz w:val="24"/>
                <w:szCs w:val="24"/>
                <w:lang w:val="en-US" w:eastAsia="zh-CN" w:bidi="ar-SA"/>
              </w:rPr>
            </w:pPr>
            <w:r>
              <w:rPr>
                <w:rFonts w:hint="eastAsia" w:ascii="仿宋" w:hAnsi="仿宋" w:eastAsia="仿宋" w:cs="仿宋"/>
                <w:sz w:val="24"/>
                <w:szCs w:val="24"/>
              </w:rPr>
              <w:t>影视后期剪辑</w:t>
            </w:r>
          </w:p>
        </w:tc>
        <w:tc>
          <w:tcPr>
            <w:tcW w:w="3593" w:type="dxa"/>
            <w:tcBorders>
              <w:top w:val="single" w:color="auto" w:sz="4" w:space="0"/>
              <w:left w:val="single" w:color="auto" w:sz="4" w:space="0"/>
              <w:bottom w:val="single" w:color="auto" w:sz="4" w:space="0"/>
            </w:tcBorders>
            <w:shd w:val="clear" w:color="auto" w:fill="FFFFFF"/>
            <w:noWrap w:val="0"/>
            <w:vAlign w:val="center"/>
          </w:tcPr>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z w:val="24"/>
                <w:szCs w:val="24"/>
              </w:rPr>
              <w:t>剪辑师</w:t>
            </w:r>
          </w:p>
        </w:tc>
        <w:tc>
          <w:tcPr>
            <w:tcW w:w="2879" w:type="dxa"/>
            <w:vMerge w:val="continue"/>
            <w:tcBorders>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spacing w:val="0"/>
                <w:sz w:val="24"/>
                <w:szCs w:val="24"/>
                <w:lang w:val="zh-TW" w:eastAsia="zh-TW" w:bidi="zh-TW"/>
              </w:rPr>
            </w:pPr>
          </w:p>
        </w:tc>
      </w:tr>
      <w:tr>
        <w:tblPrEx>
          <w:tblCellMar>
            <w:top w:w="0" w:type="dxa"/>
            <w:left w:w="10" w:type="dxa"/>
            <w:bottom w:w="0" w:type="dxa"/>
            <w:right w:w="10" w:type="dxa"/>
          </w:tblCellMar>
        </w:tblPrEx>
        <w:trPr>
          <w:trHeight w:val="1486" w:hRule="exact"/>
          <w:jc w:val="center"/>
        </w:trPr>
        <w:tc>
          <w:tcPr>
            <w:tcW w:w="947" w:type="dxa"/>
            <w:tcBorders>
              <w:top w:val="single" w:color="auto" w:sz="4" w:space="0"/>
              <w:left w:val="single" w:color="auto" w:sz="4" w:space="0"/>
              <w:bottom w:val="single" w:color="auto" w:sz="4" w:space="0"/>
            </w:tcBorders>
            <w:shd w:val="clear" w:color="auto" w:fill="FFFFFF"/>
            <w:noWrap w:val="0"/>
            <w:vAlign w:val="center"/>
          </w:tcPr>
          <w:p>
            <w:pPr>
              <w:pStyle w:val="126"/>
              <w:shd w:val="clear" w:color="auto" w:fill="auto"/>
              <w:spacing w:before="0" w:after="0" w:line="190" w:lineRule="exact"/>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5</w:t>
            </w:r>
          </w:p>
        </w:tc>
        <w:tc>
          <w:tcPr>
            <w:tcW w:w="2124" w:type="dxa"/>
            <w:tcBorders>
              <w:top w:val="single" w:color="auto" w:sz="4" w:space="0"/>
              <w:left w:val="single" w:color="auto" w:sz="4" w:space="0"/>
              <w:bottom w:val="single" w:color="auto" w:sz="4" w:space="0"/>
            </w:tcBorders>
            <w:shd w:val="clear" w:color="auto" w:fill="FFFFFF"/>
            <w:noWrap w:val="0"/>
            <w:vAlign w:val="center"/>
          </w:tcPr>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napToGrid/>
                <w:spacing w:val="20"/>
                <w:kern w:val="0"/>
                <w:sz w:val="24"/>
                <w:szCs w:val="24"/>
                <w:lang w:val="en-US" w:eastAsia="zh-CN" w:bidi="ar-SA"/>
              </w:rPr>
            </w:pPr>
            <w:r>
              <w:rPr>
                <w:rFonts w:hint="eastAsia" w:ascii="仿宋" w:hAnsi="仿宋" w:eastAsia="仿宋" w:cs="仿宋"/>
                <w:sz w:val="24"/>
                <w:szCs w:val="24"/>
              </w:rPr>
              <w:t>视频包装</w:t>
            </w:r>
          </w:p>
        </w:tc>
        <w:tc>
          <w:tcPr>
            <w:tcW w:w="3593" w:type="dxa"/>
            <w:tcBorders>
              <w:top w:val="single" w:color="auto" w:sz="4" w:space="0"/>
              <w:left w:val="single" w:color="auto" w:sz="4" w:space="0"/>
              <w:bottom w:val="single" w:color="auto" w:sz="4" w:space="0"/>
            </w:tcBorders>
            <w:shd w:val="clear" w:color="auto" w:fill="FFFFFF"/>
            <w:noWrap w:val="0"/>
            <w:vAlign w:val="center"/>
          </w:tcPr>
          <w:p>
            <w:pPr>
              <w:pStyle w:val="126"/>
              <w:keepNext/>
              <w:keepLines w:val="0"/>
              <w:pageBreakBefore w:val="0"/>
              <w:shd w:val="clear" w:color="auto" w:fill="auto"/>
              <w:kinsoku/>
              <w:wordWrap/>
              <w:autoSpaceDE/>
              <w:autoSpaceDN/>
              <w:bidi w:val="0"/>
              <w:snapToGrid w:val="0"/>
              <w:spacing w:before="0" w:after="0" w:line="480" w:lineRule="exact"/>
              <w:ind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栏目包装设计师</w:t>
            </w:r>
          </w:p>
          <w:p>
            <w:pPr>
              <w:pStyle w:val="126"/>
              <w:keepNext/>
              <w:keepLines w:val="0"/>
              <w:pageBreakBefore w:val="0"/>
              <w:shd w:val="clear" w:color="auto" w:fill="auto"/>
              <w:kinsoku/>
              <w:wordWrap/>
              <w:autoSpaceDE/>
              <w:autoSpaceDN/>
              <w:bidi w:val="0"/>
              <w:snapToGrid w:val="0"/>
              <w:spacing w:before="0" w:after="0" w:line="48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z w:val="24"/>
                <w:szCs w:val="24"/>
              </w:rPr>
              <w:t>平面设计师</w:t>
            </w:r>
          </w:p>
        </w:tc>
        <w:tc>
          <w:tcPr>
            <w:tcW w:w="2879" w:type="dxa"/>
            <w:vMerge w:val="continue"/>
            <w:tcBorders>
              <w:left w:val="single" w:color="auto" w:sz="4" w:space="0"/>
              <w:bottom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spacing w:val="0"/>
                <w:sz w:val="24"/>
                <w:szCs w:val="24"/>
                <w:lang w:val="zh-TW" w:eastAsia="zh-TW" w:bidi="zh-TW"/>
              </w:rPr>
            </w:pPr>
          </w:p>
        </w:tc>
      </w:tr>
    </w:tbl>
    <w:p>
      <w:pPr>
        <w:overflowPunct w:val="0"/>
        <w:ind w:firstLine="600" w:firstLineChars="200"/>
        <w:rPr>
          <w:rFonts w:hint="eastAsia" w:ascii="黑体" w:hAnsi="黑体" w:eastAsia="黑体"/>
          <w:sz w:val="30"/>
          <w:szCs w:val="30"/>
        </w:rPr>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sz w:val="30"/>
          <w:szCs w:val="30"/>
        </w:rPr>
      </w:pPr>
      <w:r>
        <w:rPr>
          <w:rFonts w:hint="eastAsia" w:ascii="黑体" w:hAnsi="黑体" w:eastAsia="黑体"/>
          <w:sz w:val="30"/>
          <w:szCs w:val="30"/>
        </w:rPr>
        <w:t>五、培养目标与培养规格</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sz w:val="28"/>
          <w:szCs w:val="28"/>
        </w:rPr>
      </w:pPr>
      <w:r>
        <w:rPr>
          <w:rFonts w:hint="eastAsia" w:ascii="楷体" w:hAnsi="楷体" w:eastAsia="楷体" w:cs="楷体"/>
          <w:sz w:val="30"/>
          <w:szCs w:val="30"/>
        </w:rPr>
        <w:t>（一）培养目标</w:t>
      </w:r>
    </w:p>
    <w:p>
      <w:pPr>
        <w:keepNext/>
        <w:keepLines w:val="0"/>
        <w:pageBreakBefore w:val="0"/>
        <w:widowControl/>
        <w:suppressLineNumbers w:val="0"/>
        <w:kinsoku/>
        <w:wordWrap/>
        <w:overflowPunct/>
        <w:topLinePunct/>
        <w:autoSpaceDE/>
        <w:autoSpaceDN/>
        <w:bidi w:val="0"/>
        <w:adjustRightInd w:val="0"/>
        <w:snapToGrid w:val="0"/>
        <w:spacing w:line="560" w:lineRule="exact"/>
        <w:ind w:firstLine="539"/>
        <w:jc w:val="left"/>
        <w:textAlignment w:val="auto"/>
        <w:rPr>
          <w:rFonts w:hint="eastAsia" w:ascii="仿宋_GB2312" w:hAnsi="仿宋" w:eastAsia="仿宋_GB2312" w:cs="仿宋"/>
          <w:sz w:val="30"/>
          <w:szCs w:val="30"/>
        </w:rPr>
      </w:pPr>
      <w:r>
        <w:rPr>
          <w:rFonts w:hint="eastAsia" w:ascii="仿宋_GB2312" w:hAnsi="仿宋" w:eastAsia="仿宋_GB2312" w:cs="仿宋"/>
          <w:sz w:val="30"/>
          <w:szCs w:val="30"/>
        </w:rPr>
        <w:t>培养与我国社会主义现代化建设要求相适应，德、智、体、美全面发展，掌握视频拍摄及制作的专业基础知识及专业技能，具备良好的美学修养，能够利用手机、相机及电脑进行文案、图像、视频、广告等信息的创作、处理工作，同时具备抖音、快手、哔哩哔哩、微信、小红书等新媒体平台的运营变现能力，具备职业生涯发展基础和终身学习能力，能从事新媒体运营及</w:t>
      </w:r>
      <w:r>
        <w:rPr>
          <w:rFonts w:hint="eastAsia" w:ascii="仿宋_GB2312" w:hAnsi="仿宋" w:eastAsia="仿宋_GB2312" w:cs="仿宋"/>
          <w:sz w:val="30"/>
          <w:szCs w:val="30"/>
          <w:lang w:eastAsia="zh-CN"/>
        </w:rPr>
        <w:t>影视节目制作、摄影摄像技术、后期剪辑及特效、图形图像制作等工作的技术</w:t>
      </w:r>
      <w:r>
        <w:rPr>
          <w:rFonts w:hint="eastAsia" w:ascii="仿宋_GB2312" w:hAnsi="仿宋" w:eastAsia="仿宋_GB2312" w:cs="仿宋"/>
          <w:sz w:val="30"/>
          <w:szCs w:val="30"/>
        </w:rPr>
        <w:t>技能人才。</w:t>
      </w:r>
    </w:p>
    <w:p>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楷体" w:hAnsi="楷体" w:eastAsia="楷体" w:cs="楷体"/>
          <w:sz w:val="30"/>
          <w:szCs w:val="30"/>
        </w:rPr>
        <w:t>培养规格</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本专业毕业生应具有以下职业素养、专业知识和技能：</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1.</w:t>
      </w:r>
      <w:r>
        <w:rPr>
          <w:rFonts w:hint="eastAsia" w:ascii="仿宋_GB2312" w:hAnsi="仿宋" w:eastAsia="仿宋_GB2312" w:cs="仿宋"/>
          <w:sz w:val="30"/>
          <w:szCs w:val="30"/>
        </w:rPr>
        <w:t>职业素养</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（1）具有科学、系统、辩证的人生观与社会观。</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（2）具有广博的科学知识与深厚的文化内涵。</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（3）具有灵活的头脑和创造性的思维。</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（4）具有敏锐的艺术鉴赏力、洞察力以及良好的艺术修养。</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（5）具有商业经营意识和品牌营销理念。</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（6）拥有良好的人际关系，能够与他人团结协作共同完成工作。</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（7）具有良好的语言与文字表达能力、人际沟通能力、公共关系处理的能力。</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（8）具备独立制定工作计划、收集资料、采集信息及获取新知识等工作方法能力。</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eastAsia="仿宋_GB2312" w:cs="宋体"/>
          <w:bCs/>
          <w:kern w:val="44"/>
          <w:sz w:val="30"/>
          <w:szCs w:val="30"/>
          <w:lang w:val="zh-CN" w:bidi="ar"/>
        </w:rPr>
      </w:pPr>
      <w:r>
        <w:rPr>
          <w:rFonts w:hint="eastAsia" w:ascii="仿宋_GB2312" w:eastAsia="仿宋_GB2312" w:cs="宋体"/>
          <w:bCs/>
          <w:kern w:val="44"/>
          <w:sz w:val="30"/>
          <w:szCs w:val="30"/>
          <w:lang w:bidi="ar"/>
        </w:rPr>
        <w:t>（9）</w:t>
      </w:r>
      <w:r>
        <w:rPr>
          <w:rFonts w:hint="eastAsia" w:ascii="仿宋_GB2312" w:eastAsia="仿宋_GB2312" w:cs="宋体"/>
          <w:bCs/>
          <w:kern w:val="44"/>
          <w:sz w:val="30"/>
          <w:szCs w:val="30"/>
          <w:lang w:val="zh-CN" w:bidi="ar"/>
        </w:rPr>
        <w:t>具有自我教育和管理的意识和能力，能确定符合个人实际的发展方向并制定切实可行的发展规划、安排并有效利用时间完成阶段性工作任务和学习计划。</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eastAsia="仿宋_GB2312" w:cs="宋体"/>
          <w:bCs/>
          <w:kern w:val="44"/>
          <w:sz w:val="30"/>
          <w:szCs w:val="30"/>
          <w:lang w:val="zh-CN" w:bidi="ar"/>
        </w:rPr>
      </w:pPr>
      <w:r>
        <w:rPr>
          <w:rFonts w:hint="eastAsia" w:ascii="仿宋_GB2312" w:eastAsia="仿宋_GB2312" w:cs="宋体"/>
          <w:bCs/>
          <w:kern w:val="44"/>
          <w:sz w:val="30"/>
          <w:szCs w:val="30"/>
          <w:lang w:val="zh-CN" w:bidi="ar"/>
        </w:rPr>
        <w:t>（10）具备正确评价自我和他人的能力。</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2.专业知识和技能</w:t>
      </w:r>
    </w:p>
    <w:p>
      <w:pPr>
        <w:keepNext/>
        <w:keepLines w:val="0"/>
        <w:pageBreakBefore w:val="0"/>
        <w:widowControl w:val="0"/>
        <w:kinsoku/>
        <w:wordWrap/>
        <w:autoSpaceDE/>
        <w:autoSpaceDN/>
        <w:bidi w:val="0"/>
        <w:spacing w:line="560" w:lineRule="exact"/>
        <w:ind w:firstLine="60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（1）</w:t>
      </w:r>
      <w:r>
        <w:rPr>
          <w:rFonts w:hint="eastAsia" w:ascii="仿宋_GB2312" w:hAnsi="仿宋" w:eastAsia="仿宋_GB2312" w:cs="仿宋"/>
          <w:sz w:val="30"/>
          <w:szCs w:val="30"/>
        </w:rPr>
        <w:t>专业基础知识</w:t>
      </w:r>
    </w:p>
    <w:p>
      <w:pPr>
        <w:pStyle w:val="112"/>
        <w:keepNext/>
        <w:keepLines w:val="0"/>
        <w:pageBreakBefore w:val="0"/>
        <w:widowControl w:val="0"/>
        <w:numPr>
          <w:ilvl w:val="0"/>
          <w:numId w:val="2"/>
        </w:numPr>
        <w:kinsoku/>
        <w:wordWrap/>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掌握基本文化修养、人际沟通等的基础知识；</w:t>
      </w:r>
    </w:p>
    <w:p>
      <w:pPr>
        <w:pStyle w:val="112"/>
        <w:keepNext/>
        <w:keepLines w:val="0"/>
        <w:pageBreakBefore w:val="0"/>
        <w:widowControl w:val="0"/>
        <w:numPr>
          <w:ilvl w:val="0"/>
          <w:numId w:val="2"/>
        </w:numPr>
        <w:kinsoku/>
        <w:wordWrap/>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掌握计算机操作和计算机网络知识；</w:t>
      </w:r>
    </w:p>
    <w:p>
      <w:pPr>
        <w:pStyle w:val="112"/>
        <w:keepNext/>
        <w:keepLines w:val="0"/>
        <w:pageBreakBefore w:val="0"/>
        <w:widowControl w:val="0"/>
        <w:numPr>
          <w:ilvl w:val="0"/>
          <w:numId w:val="2"/>
        </w:numPr>
        <w:kinsoku/>
        <w:wordWrap/>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掌握后期软件基本操作方法；</w:t>
      </w:r>
    </w:p>
    <w:p>
      <w:pPr>
        <w:pStyle w:val="112"/>
        <w:keepNext/>
        <w:keepLines w:val="0"/>
        <w:pageBreakBefore w:val="0"/>
        <w:widowControl w:val="0"/>
        <w:numPr>
          <w:ilvl w:val="0"/>
          <w:numId w:val="2"/>
        </w:numPr>
        <w:kinsoku/>
        <w:wordWrap/>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掌握影视编辑合成、特效、剪辑、调色、音频处理等方面的知识。</w:t>
      </w:r>
    </w:p>
    <w:p>
      <w:pPr>
        <w:keepNext/>
        <w:keepLines w:val="0"/>
        <w:pageBreakBefore w:val="0"/>
        <w:widowControl w:val="0"/>
        <w:kinsoku/>
        <w:wordWrap/>
        <w:autoSpaceDE/>
        <w:autoSpaceDN/>
        <w:bidi w:val="0"/>
        <w:spacing w:line="560" w:lineRule="exact"/>
        <w:ind w:firstLine="6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（2）专业知识与技能</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能熟练进行图片处理及色彩搭配；</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能熟练运用摄像机完成视频的前期录制采集；</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能够使用设计软件或手绘方式准确表达设计方案；</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能进行动画规划；</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能进行商业摄影和人物形象设计；</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能够利用相关软件完成影视特效合成；</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能进行三维动画建模、材质、灯光的设计；</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能根据影视策划方案设计与撰写剧本的能力；</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能独立完成影片剪辑和特效的制作；</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具有策划影视片情节的初步能力；</w:t>
      </w:r>
    </w:p>
    <w:p>
      <w:pPr>
        <w:pStyle w:val="112"/>
        <w:keepNext/>
        <w:keepLines w:val="0"/>
        <w:pageBreakBefore w:val="0"/>
        <w:widowControl w:val="0"/>
        <w:numPr>
          <w:ilvl w:val="0"/>
          <w:numId w:val="3"/>
        </w:numPr>
        <w:kinsoku/>
        <w:wordWrap/>
        <w:overflowPunct w:val="0"/>
        <w:autoSpaceDE/>
        <w:autoSpaceDN/>
        <w:bidi w:val="0"/>
        <w:spacing w:line="560" w:lineRule="exact"/>
        <w:ind w:left="1021" w:firstLineChars="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具备一定的职业和专业迁移能力。</w:t>
      </w:r>
    </w:p>
    <w:p>
      <w:pPr>
        <w:keepNext w:val="0"/>
        <w:keepLines w:val="0"/>
        <w:pageBreakBefore w:val="0"/>
        <w:widowControl w:val="0"/>
        <w:kinsoku/>
        <w:wordWrap/>
        <w:overflowPunct w:val="0"/>
        <w:topLinePunct/>
        <w:autoSpaceDE/>
        <w:autoSpaceDN/>
        <w:bidi w:val="0"/>
        <w:adjustRightInd w:val="0"/>
        <w:snapToGrid w:val="0"/>
        <w:spacing w:line="560" w:lineRule="atLeast"/>
        <w:ind w:firstLine="600" w:firstLineChars="200"/>
        <w:textAlignment w:val="auto"/>
        <w:rPr>
          <w:rFonts w:hint="eastAsia" w:ascii="黑体" w:hAnsi="黑体" w:eastAsia="黑体"/>
          <w:sz w:val="30"/>
          <w:szCs w:val="30"/>
        </w:rPr>
      </w:pPr>
      <w:r>
        <w:rPr>
          <w:rFonts w:hint="eastAsia" w:ascii="黑体" w:hAnsi="黑体" w:eastAsia="黑体"/>
          <w:sz w:val="30"/>
          <w:szCs w:val="30"/>
        </w:rPr>
        <w:t>六、课程设置及要求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本专业课程设置分为公共基础课和专业技能课。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公共基础课包括</w:t>
      </w:r>
      <w:r>
        <w:rPr>
          <w:rFonts w:hint="eastAsia" w:ascii="仿宋" w:hAnsi="仿宋" w:eastAsia="仿宋" w:cs="仿宋"/>
          <w:sz w:val="30"/>
          <w:szCs w:val="30"/>
          <w:lang w:eastAsia="zh-CN"/>
        </w:rPr>
        <w:t>思想政治</w:t>
      </w:r>
      <w:r>
        <w:rPr>
          <w:rFonts w:hint="eastAsia" w:ascii="仿宋" w:hAnsi="仿宋" w:eastAsia="仿宋" w:cs="仿宋"/>
          <w:sz w:val="30"/>
          <w:szCs w:val="30"/>
        </w:rPr>
        <w:t>课、</w:t>
      </w:r>
      <w:r>
        <w:rPr>
          <w:rFonts w:hint="eastAsia" w:ascii="仿宋" w:hAnsi="仿宋" w:eastAsia="仿宋" w:cs="仿宋"/>
          <w:sz w:val="30"/>
          <w:szCs w:val="30"/>
          <w:lang w:eastAsia="zh-CN"/>
        </w:rPr>
        <w:t>语文、数学、英语</w:t>
      </w:r>
      <w:r>
        <w:rPr>
          <w:rFonts w:hint="eastAsia" w:ascii="仿宋" w:hAnsi="仿宋" w:eastAsia="仿宋" w:cs="仿宋"/>
          <w:sz w:val="30"/>
          <w:szCs w:val="30"/>
        </w:rPr>
        <w:t>、体育与健康、公共艺术、历史</w:t>
      </w:r>
      <w:r>
        <w:rPr>
          <w:rFonts w:hint="eastAsia" w:ascii="仿宋" w:hAnsi="仿宋" w:eastAsia="仿宋" w:cs="仿宋"/>
          <w:sz w:val="30"/>
          <w:szCs w:val="30"/>
          <w:lang w:eastAsia="zh-CN"/>
        </w:rPr>
        <w:t>、信息技术</w:t>
      </w:r>
      <w:r>
        <w:rPr>
          <w:rFonts w:hint="eastAsia" w:ascii="仿宋" w:hAnsi="仿宋" w:eastAsia="仿宋" w:cs="仿宋"/>
          <w:sz w:val="30"/>
          <w:szCs w:val="30"/>
        </w:rPr>
        <w:t>，以及其他自然科学和人文科学类基础课。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专业技能课包括</w:t>
      </w:r>
      <w:r>
        <w:rPr>
          <w:rFonts w:hint="eastAsia" w:ascii="仿宋" w:hAnsi="仿宋" w:eastAsia="仿宋" w:cs="仿宋"/>
          <w:sz w:val="30"/>
          <w:szCs w:val="30"/>
          <w:lang w:eastAsia="zh-CN"/>
        </w:rPr>
        <w:t>专业基础课、</w:t>
      </w:r>
      <w:r>
        <w:rPr>
          <w:rFonts w:hint="eastAsia" w:ascii="仿宋" w:hAnsi="仿宋" w:eastAsia="仿宋" w:cs="仿宋"/>
          <w:sz w:val="30"/>
          <w:szCs w:val="30"/>
        </w:rPr>
        <w:t>专业核心课和专业选修课，实习实训是专业技能课教学的重要内容，含校内外实训、顶岗实习多种形式。</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（一）公共基础课程及要求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1.国防教育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劳动教育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劳动教育课是中职学生思想政治教育类课程，是学生树立马克思主义劳动观的关键课程，是面向全校所有专业开设的劳动教育必修课程。课程旨在帮助学生树立马克思主义劳动观，铸造崇高个人品德；助益学生锻炼劳动技能；积累劳动经验，培养劳动习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eastAsia="zh-CN"/>
        </w:rPr>
        <w:t>中国特色社会主义</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以习近平新时代中国特色社会主义思想为指导，阐释中国特色社</w:t>
      </w:r>
      <w:r>
        <w:rPr>
          <w:rFonts w:hint="default" w:ascii="仿宋" w:hAnsi="仿宋" w:eastAsia="仿宋" w:cs="仿宋"/>
          <w:sz w:val="30"/>
          <w:szCs w:val="30"/>
          <w:lang w:val="en-US" w:eastAsia="zh-CN"/>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4.心理健康与职业生涯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基于社会发展对中职学生心理素质、职业生涯发展提出的新要</w:t>
      </w:r>
      <w:r>
        <w:rPr>
          <w:rFonts w:hint="default" w:ascii="仿宋" w:hAnsi="仿宋" w:eastAsia="仿宋" w:cs="仿宋"/>
          <w:sz w:val="30"/>
          <w:szCs w:val="30"/>
          <w:lang w:val="en-US" w:eastAsia="zh-CN"/>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5.哲学与人生</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阐明马克思主义哲学是科学的世界观和方法论，讲述辩证唯物主</w:t>
      </w:r>
      <w:r>
        <w:rPr>
          <w:rFonts w:hint="default" w:ascii="仿宋" w:hAnsi="仿宋" w:eastAsia="仿宋" w:cs="仿宋"/>
          <w:sz w:val="30"/>
          <w:szCs w:val="30"/>
          <w:lang w:val="en-US" w:eastAsia="zh-CN"/>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6.职业道德与法治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着眼于提高中职学生的职业道德素质和法治素养，对学生进行</w:t>
      </w:r>
      <w:r>
        <w:rPr>
          <w:rFonts w:hint="default" w:ascii="仿宋" w:hAnsi="仿宋" w:eastAsia="仿宋" w:cs="仿宋"/>
          <w:sz w:val="30"/>
          <w:szCs w:val="30"/>
          <w:lang w:val="en-US" w:eastAsia="zh-CN"/>
        </w:rPr>
        <w:t>职业道德和法治教育。帮助学生理解全面依法治国的总目标和基本要求，了解职业道德和法律规范，增强职业道德和法治意识，养成爱岗敬业、依法办事的思维方式和行为习惯。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7.语文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中等职业学校语文课程是各专业学生必修的公共基础课程，其</w:t>
      </w:r>
      <w:r>
        <w:rPr>
          <w:rFonts w:hint="default" w:ascii="仿宋" w:hAnsi="仿宋" w:eastAsia="仿宋" w:cs="仿宋"/>
          <w:sz w:val="30"/>
          <w:szCs w:val="30"/>
          <w:lang w:val="en-US" w:eastAsia="zh-CN"/>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.数学</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w:t>
      </w:r>
      <w:r>
        <w:rPr>
          <w:rFonts w:hint="eastAsia" w:ascii="仿宋" w:hAnsi="仿宋" w:eastAsia="仿宋" w:cs="仿宋"/>
          <w:sz w:val="30"/>
          <w:szCs w:val="30"/>
          <w:lang w:eastAsia="zh-CN"/>
        </w:rPr>
        <w:t>，</w:t>
      </w:r>
      <w:r>
        <w:rPr>
          <w:rFonts w:hint="eastAsia" w:ascii="仿宋" w:hAnsi="仿宋" w:eastAsia="仿宋" w:cs="仿宋"/>
          <w:sz w:val="30"/>
          <w:szCs w:val="30"/>
        </w:rPr>
        <w:t>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.英语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 历史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中等职业学校历史课程是各专业学生必修的公共基础课程。本课</w:t>
      </w:r>
      <w:r>
        <w:rPr>
          <w:rFonts w:hint="default" w:ascii="仿宋" w:hAnsi="仿宋" w:eastAsia="仿宋" w:cs="仿宋"/>
          <w:sz w:val="30"/>
          <w:szCs w:val="30"/>
          <w:lang w:val="en-US" w:eastAsia="zh-CN"/>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11.体育与健康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12</w:t>
      </w:r>
      <w:r>
        <w:rPr>
          <w:rFonts w:hint="eastAsia" w:ascii="仿宋" w:hAnsi="仿宋" w:eastAsia="仿宋" w:cs="仿宋"/>
          <w:sz w:val="30"/>
          <w:szCs w:val="30"/>
        </w:rPr>
        <w:t>.</w:t>
      </w:r>
      <w:r>
        <w:rPr>
          <w:rFonts w:hint="eastAsia" w:ascii="仿宋" w:hAnsi="仿宋" w:eastAsia="仿宋" w:cs="仿宋"/>
          <w:sz w:val="30"/>
          <w:szCs w:val="30"/>
          <w:lang w:eastAsia="zh-CN"/>
        </w:rPr>
        <w:t>信息技术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val="en-US" w:eastAsia="zh-CN"/>
        </w:rPr>
        <w:t>应用文写作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从应用文的基本概念、行政公文、事务应用文、日常应用文、宣传应用文、社交礼仪应用文、财经应用文、法律应用文、科技应用文的基本知识与写作方法入手。从实际出发，注重写作技能的训练，内容全面，通俗易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14.书法</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书法与人的审美意识与审美素养密切相关。学生只有具备了相应的审美素养，才能更好地学好书法，欣赏书法，把书法水平提高到一定水平。在书法课程教学中，培养学生的审美意识和审美素养是非常重要的，培养学生对传统书法的鉴赏素养是有必要的，这些都有利于学生的健康成长和艺术修养的提高。</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15.</w:t>
      </w:r>
      <w:r>
        <w:rPr>
          <w:rFonts w:hint="eastAsia" w:ascii="仿宋" w:hAnsi="仿宋" w:eastAsia="仿宋" w:cs="仿宋"/>
          <w:sz w:val="30"/>
          <w:szCs w:val="30"/>
        </w:rPr>
        <w:t>礼仪</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礼仪是社会规范和道德规范的组成部分，是人际交往中不可缺少的润滑剂和联系纽带。教材充分综合了现代礼貌礼仪涉及的各个方面,内容包括概述篇、个人礼仪篇、社交礼仪篇、职场礼仪篇、社会生活礼仪篇和涉外礼仪篇。内容精练，突出实用性、操作性与通俗性，并力求与国际惯例接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p>
    <w:p>
      <w:pPr>
        <w:spacing w:line="480" w:lineRule="exact"/>
        <w:ind w:firstLine="560" w:firstLineChars="200"/>
        <w:rPr>
          <w:rFonts w:hint="eastAsia"/>
          <w:sz w:val="28"/>
          <w:szCs w:val="28"/>
        </w:rPr>
      </w:pPr>
    </w:p>
    <w:p>
      <w:pPr>
        <w:spacing w:line="480" w:lineRule="exact"/>
        <w:ind w:firstLine="560" w:firstLineChars="200"/>
        <w:jc w:val="center"/>
        <w:rPr>
          <w:rFonts w:hint="eastAsia"/>
          <w:b/>
          <w:sz w:val="28"/>
          <w:szCs w:val="28"/>
        </w:rPr>
      </w:pPr>
      <w:r>
        <w:rPr>
          <w:rFonts w:hint="eastAsia"/>
          <w:b/>
          <w:sz w:val="28"/>
          <w:szCs w:val="28"/>
        </w:rPr>
        <w:t>公共必修课程设置及学时分配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087"/>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eastAsia="黑体"/>
                <w:sz w:val="24"/>
                <w:szCs w:val="24"/>
              </w:rPr>
            </w:pPr>
            <w:r>
              <w:rPr>
                <w:rFonts w:hAnsi="黑体" w:eastAsia="黑体"/>
                <w:sz w:val="24"/>
                <w:szCs w:val="24"/>
              </w:rPr>
              <w:t>序号</w:t>
            </w:r>
          </w:p>
        </w:tc>
        <w:tc>
          <w:tcPr>
            <w:tcW w:w="2105" w:type="dxa"/>
            <w:noWrap w:val="0"/>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087" w:type="dxa"/>
            <w:noWrap w:val="0"/>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1656" w:type="dxa"/>
            <w:noWrap w:val="0"/>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2105" w:type="dxa"/>
            <w:noWrap w:val="0"/>
            <w:vAlign w:val="center"/>
          </w:tcPr>
          <w:p>
            <w:pPr>
              <w:tabs>
                <w:tab w:val="left" w:pos="426"/>
                <w:tab w:val="left" w:pos="709"/>
              </w:tabs>
              <w:adjustRightInd w:val="0"/>
              <w:spacing w:line="300" w:lineRule="atLeast"/>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eastAsia="zh-CN"/>
              </w:rPr>
              <w:t>国防教育</w:t>
            </w:r>
          </w:p>
        </w:tc>
        <w:tc>
          <w:tcPr>
            <w:tcW w:w="5087" w:type="dxa"/>
            <w:noWrap w:val="0"/>
            <w:vAlign w:val="center"/>
          </w:tcPr>
          <w:p>
            <w:pPr>
              <w:tabs>
                <w:tab w:val="left" w:pos="426"/>
                <w:tab w:val="left" w:pos="709"/>
              </w:tabs>
              <w:adjustRightInd w:val="0"/>
              <w:spacing w:line="240" w:lineRule="auto"/>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rPr>
              <w:t>依据《中等职业学校思想政治课程标准》开设，并与专业实际和行业发展密切结合。</w:t>
            </w:r>
          </w:p>
        </w:tc>
        <w:tc>
          <w:tcPr>
            <w:tcW w:w="1656" w:type="dxa"/>
            <w:noWrap w:val="0"/>
            <w:vAlign w:val="center"/>
          </w:tcPr>
          <w:p>
            <w:pPr>
              <w:tabs>
                <w:tab w:val="left" w:pos="426"/>
                <w:tab w:val="left" w:pos="709"/>
              </w:tabs>
              <w:adjustRightInd w:val="0"/>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2105" w:type="dxa"/>
            <w:noWrap w:val="0"/>
            <w:vAlign w:val="center"/>
          </w:tcPr>
          <w:p>
            <w:pPr>
              <w:tabs>
                <w:tab w:val="left" w:pos="426"/>
                <w:tab w:val="left" w:pos="709"/>
              </w:tabs>
              <w:adjustRightInd w:val="0"/>
              <w:spacing w:line="300" w:lineRule="atLeast"/>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eastAsia="zh-CN"/>
              </w:rPr>
              <w:t>劳动教育</w:t>
            </w:r>
          </w:p>
        </w:tc>
        <w:tc>
          <w:tcPr>
            <w:tcW w:w="5087" w:type="dxa"/>
            <w:noWrap w:val="0"/>
            <w:vAlign w:val="center"/>
          </w:tcPr>
          <w:p>
            <w:pPr>
              <w:tabs>
                <w:tab w:val="left" w:pos="426"/>
                <w:tab w:val="left" w:pos="709"/>
              </w:tabs>
              <w:adjustRightInd w:val="0"/>
              <w:spacing w:line="240" w:lineRule="auto"/>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rPr>
              <w:t>依据《中等职业学校思想政治课程标准》开设，并与专业实际和行业发展密切结合。</w:t>
            </w:r>
          </w:p>
        </w:tc>
        <w:tc>
          <w:tcPr>
            <w:tcW w:w="1656" w:type="dxa"/>
            <w:noWrap w:val="0"/>
            <w:vAlign w:val="center"/>
          </w:tcPr>
          <w:p>
            <w:pPr>
              <w:tabs>
                <w:tab w:val="left" w:pos="426"/>
                <w:tab w:val="left" w:pos="709"/>
              </w:tabs>
              <w:adjustRightInd w:val="0"/>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val="en-US" w:eastAsia="zh-CN"/>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3</w:t>
            </w:r>
          </w:p>
        </w:tc>
        <w:tc>
          <w:tcPr>
            <w:tcW w:w="2105" w:type="dxa"/>
            <w:noWrap w:val="0"/>
            <w:vAlign w:val="center"/>
          </w:tcPr>
          <w:p>
            <w:pPr>
              <w:pStyle w:val="62"/>
              <w:spacing w:line="300" w:lineRule="atLeast"/>
              <w:ind w:firstLine="0" w:firstLineChars="0"/>
              <w:rPr>
                <w:rFonts w:hint="default"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中国特色社会主义</w:t>
            </w:r>
          </w:p>
        </w:tc>
        <w:tc>
          <w:tcPr>
            <w:tcW w:w="5087" w:type="dxa"/>
            <w:noWrap w:val="0"/>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思想政治课程标准</w:t>
            </w:r>
            <w:r>
              <w:rPr>
                <w:rFonts w:hint="eastAsia" w:ascii="宋体" w:hAnsi="宋体" w:eastAsia="宋体" w:cs="宋体"/>
                <w:sz w:val="21"/>
                <w:szCs w:val="21"/>
              </w:rPr>
              <w:t>》开设，并与专业实际和行业发展密切结合。</w:t>
            </w:r>
          </w:p>
        </w:tc>
        <w:tc>
          <w:tcPr>
            <w:tcW w:w="1656" w:type="dxa"/>
            <w:noWrap w:val="0"/>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w:t>
            </w:r>
          </w:p>
        </w:tc>
        <w:tc>
          <w:tcPr>
            <w:tcW w:w="2105" w:type="dxa"/>
            <w:noWrap w:val="0"/>
            <w:vAlign w:val="center"/>
          </w:tcPr>
          <w:p>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心理健康与职业生涯</w:t>
            </w:r>
          </w:p>
        </w:tc>
        <w:tc>
          <w:tcPr>
            <w:tcW w:w="5087" w:type="dxa"/>
            <w:noWrap w:val="0"/>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思想政治课程标准</w:t>
            </w:r>
            <w:r>
              <w:rPr>
                <w:rFonts w:hint="eastAsia" w:ascii="宋体" w:hAnsi="宋体" w:eastAsia="宋体" w:cs="宋体"/>
                <w:sz w:val="21"/>
                <w:szCs w:val="21"/>
              </w:rPr>
              <w:t>》开设，并与专业实际和行业发展密切结合。</w:t>
            </w:r>
          </w:p>
        </w:tc>
        <w:tc>
          <w:tcPr>
            <w:tcW w:w="1656" w:type="dxa"/>
            <w:noWrap w:val="0"/>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5</w:t>
            </w:r>
          </w:p>
        </w:tc>
        <w:tc>
          <w:tcPr>
            <w:tcW w:w="2105" w:type="dxa"/>
            <w:noWrap w:val="0"/>
            <w:vAlign w:val="center"/>
          </w:tcPr>
          <w:p>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哲学与人生</w:t>
            </w:r>
          </w:p>
        </w:tc>
        <w:tc>
          <w:tcPr>
            <w:tcW w:w="5087" w:type="dxa"/>
            <w:noWrap w:val="0"/>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思想政治课程标准</w:t>
            </w:r>
            <w:r>
              <w:rPr>
                <w:rFonts w:hint="eastAsia" w:ascii="宋体" w:hAnsi="宋体" w:eastAsia="宋体" w:cs="宋体"/>
                <w:sz w:val="21"/>
                <w:szCs w:val="21"/>
              </w:rPr>
              <w:t>》开设，并与专业实际和行业发展密切结合。</w:t>
            </w:r>
          </w:p>
        </w:tc>
        <w:tc>
          <w:tcPr>
            <w:tcW w:w="1656" w:type="dxa"/>
            <w:noWrap w:val="0"/>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6</w:t>
            </w:r>
          </w:p>
        </w:tc>
        <w:tc>
          <w:tcPr>
            <w:tcW w:w="2105" w:type="dxa"/>
            <w:noWrap w:val="0"/>
            <w:vAlign w:val="center"/>
          </w:tcPr>
          <w:p>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职业道德与法治</w:t>
            </w:r>
          </w:p>
        </w:tc>
        <w:tc>
          <w:tcPr>
            <w:tcW w:w="5087" w:type="dxa"/>
            <w:noWrap w:val="0"/>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思想政治课程标准</w:t>
            </w:r>
            <w:r>
              <w:rPr>
                <w:rFonts w:hint="eastAsia" w:ascii="宋体" w:hAnsi="宋体" w:eastAsia="宋体" w:cs="宋体"/>
                <w:sz w:val="21"/>
                <w:szCs w:val="21"/>
              </w:rPr>
              <w:t>》开设，并与专业实际和行业发展密切结合。</w:t>
            </w:r>
          </w:p>
        </w:tc>
        <w:tc>
          <w:tcPr>
            <w:tcW w:w="1656" w:type="dxa"/>
            <w:noWrap w:val="0"/>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7</w:t>
            </w:r>
          </w:p>
        </w:tc>
        <w:tc>
          <w:tcPr>
            <w:tcW w:w="2105" w:type="dxa"/>
            <w:noWrap w:val="0"/>
            <w:vAlign w:val="center"/>
          </w:tcPr>
          <w:p>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语文</w:t>
            </w:r>
          </w:p>
        </w:tc>
        <w:tc>
          <w:tcPr>
            <w:tcW w:w="5087" w:type="dxa"/>
            <w:noWrap w:val="0"/>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依据《中等职业学校语文</w:t>
            </w:r>
            <w:r>
              <w:rPr>
                <w:rFonts w:hint="eastAsia" w:ascii="宋体" w:hAnsi="宋体" w:eastAsia="宋体" w:cs="宋体"/>
                <w:sz w:val="21"/>
                <w:szCs w:val="21"/>
                <w:lang w:eastAsia="zh-CN"/>
              </w:rPr>
              <w:t>课程标准</w:t>
            </w:r>
            <w:r>
              <w:rPr>
                <w:rFonts w:hint="eastAsia" w:ascii="宋体" w:hAnsi="宋体" w:eastAsia="宋体" w:cs="宋体"/>
                <w:sz w:val="21"/>
                <w:szCs w:val="21"/>
              </w:rPr>
              <w:t>》开设，并注重在职业模块的教学内容中体现专业特色。</w:t>
            </w:r>
          </w:p>
        </w:tc>
        <w:tc>
          <w:tcPr>
            <w:tcW w:w="1656" w:type="dxa"/>
            <w:noWrap w:val="0"/>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8</w:t>
            </w:r>
          </w:p>
        </w:tc>
        <w:tc>
          <w:tcPr>
            <w:tcW w:w="2105" w:type="dxa"/>
            <w:noWrap w:val="0"/>
            <w:vAlign w:val="center"/>
          </w:tcPr>
          <w:p>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数学</w:t>
            </w:r>
          </w:p>
        </w:tc>
        <w:tc>
          <w:tcPr>
            <w:tcW w:w="5087" w:type="dxa"/>
            <w:noWrap w:val="0"/>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依据《中等职业学校数学</w:t>
            </w:r>
            <w:r>
              <w:rPr>
                <w:rFonts w:hint="eastAsia" w:ascii="宋体" w:hAnsi="宋体" w:eastAsia="宋体" w:cs="宋体"/>
                <w:sz w:val="21"/>
                <w:szCs w:val="21"/>
                <w:lang w:eastAsia="zh-CN"/>
              </w:rPr>
              <w:t>课程标准</w:t>
            </w:r>
            <w:r>
              <w:rPr>
                <w:rFonts w:hint="eastAsia" w:ascii="宋体" w:hAnsi="宋体" w:eastAsia="宋体" w:cs="宋体"/>
                <w:sz w:val="21"/>
                <w:szCs w:val="21"/>
              </w:rPr>
              <w:t>》开设，并注重在职业模块的教学内容中体现专业特色。</w:t>
            </w:r>
          </w:p>
        </w:tc>
        <w:tc>
          <w:tcPr>
            <w:tcW w:w="1656" w:type="dxa"/>
            <w:noWrap w:val="0"/>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9</w:t>
            </w:r>
          </w:p>
        </w:tc>
        <w:tc>
          <w:tcPr>
            <w:tcW w:w="2105" w:type="dxa"/>
            <w:noWrap w:val="0"/>
            <w:vAlign w:val="center"/>
          </w:tcPr>
          <w:p>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英语</w:t>
            </w:r>
          </w:p>
        </w:tc>
        <w:tc>
          <w:tcPr>
            <w:tcW w:w="5087" w:type="dxa"/>
            <w:noWrap w:val="0"/>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依据《中等职业学校英语</w:t>
            </w:r>
            <w:r>
              <w:rPr>
                <w:rFonts w:hint="eastAsia" w:ascii="宋体" w:hAnsi="宋体" w:eastAsia="宋体" w:cs="宋体"/>
                <w:sz w:val="21"/>
                <w:szCs w:val="21"/>
                <w:lang w:eastAsia="zh-CN"/>
              </w:rPr>
              <w:t>课程标准</w:t>
            </w:r>
            <w:r>
              <w:rPr>
                <w:rFonts w:hint="eastAsia" w:ascii="宋体" w:hAnsi="宋体" w:eastAsia="宋体" w:cs="宋体"/>
                <w:sz w:val="21"/>
                <w:szCs w:val="21"/>
              </w:rPr>
              <w:t>》开设，并注重在职业模块的教学内容中体现专业特色。</w:t>
            </w:r>
          </w:p>
        </w:tc>
        <w:tc>
          <w:tcPr>
            <w:tcW w:w="1656" w:type="dxa"/>
            <w:noWrap w:val="0"/>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10</w:t>
            </w:r>
          </w:p>
        </w:tc>
        <w:tc>
          <w:tcPr>
            <w:tcW w:w="2105" w:type="dxa"/>
            <w:noWrap w:val="0"/>
            <w:vAlign w:val="center"/>
          </w:tcPr>
          <w:p>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历史</w:t>
            </w:r>
          </w:p>
        </w:tc>
        <w:tc>
          <w:tcPr>
            <w:tcW w:w="5087" w:type="dxa"/>
            <w:noWrap w:val="0"/>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依据《中等职业学校历史</w:t>
            </w:r>
            <w:r>
              <w:rPr>
                <w:rFonts w:hint="eastAsia" w:ascii="宋体" w:hAnsi="宋体" w:eastAsia="宋体" w:cs="宋体"/>
                <w:sz w:val="21"/>
                <w:szCs w:val="21"/>
                <w:lang w:eastAsia="zh-CN"/>
              </w:rPr>
              <w:t>课程标准</w:t>
            </w:r>
            <w:r>
              <w:rPr>
                <w:rFonts w:hint="eastAsia" w:ascii="宋体" w:hAnsi="宋体" w:eastAsia="宋体" w:cs="宋体"/>
                <w:sz w:val="21"/>
                <w:szCs w:val="21"/>
              </w:rPr>
              <w:t>》开设，并与专业实际和行业发展密切结合。</w:t>
            </w:r>
          </w:p>
        </w:tc>
        <w:tc>
          <w:tcPr>
            <w:tcW w:w="1656" w:type="dxa"/>
            <w:noWrap w:val="0"/>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11</w:t>
            </w:r>
          </w:p>
        </w:tc>
        <w:tc>
          <w:tcPr>
            <w:tcW w:w="2105" w:type="dxa"/>
            <w:noWrap w:val="0"/>
            <w:vAlign w:val="center"/>
          </w:tcPr>
          <w:p>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体育与健康</w:t>
            </w:r>
          </w:p>
        </w:tc>
        <w:tc>
          <w:tcPr>
            <w:tcW w:w="5087" w:type="dxa"/>
            <w:noWrap w:val="0"/>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依据《中等职业学校体育与健康</w:t>
            </w:r>
            <w:r>
              <w:rPr>
                <w:rFonts w:hint="eastAsia" w:ascii="宋体" w:hAnsi="宋体" w:eastAsia="宋体" w:cs="宋体"/>
                <w:sz w:val="21"/>
                <w:szCs w:val="21"/>
                <w:lang w:eastAsia="zh-CN"/>
              </w:rPr>
              <w:t>课程标准</w:t>
            </w:r>
            <w:r>
              <w:rPr>
                <w:rFonts w:hint="eastAsia" w:ascii="宋体" w:hAnsi="宋体" w:eastAsia="宋体" w:cs="宋体"/>
                <w:sz w:val="21"/>
                <w:szCs w:val="21"/>
              </w:rPr>
              <w:t>》开设，并与专业实际和行业发展密切结合。</w:t>
            </w:r>
          </w:p>
        </w:tc>
        <w:tc>
          <w:tcPr>
            <w:tcW w:w="1656" w:type="dxa"/>
            <w:noWrap w:val="0"/>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2105" w:type="dxa"/>
            <w:noWrap w:val="0"/>
            <w:vAlign w:val="center"/>
          </w:tcPr>
          <w:p>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信息技术</w:t>
            </w:r>
          </w:p>
        </w:tc>
        <w:tc>
          <w:tcPr>
            <w:tcW w:w="5087" w:type="dxa"/>
            <w:noWrap w:val="0"/>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信息技术课程标准</w:t>
            </w:r>
            <w:r>
              <w:rPr>
                <w:rFonts w:hint="eastAsia" w:ascii="宋体" w:hAnsi="宋体" w:eastAsia="宋体" w:cs="宋体"/>
                <w:sz w:val="21"/>
                <w:szCs w:val="21"/>
              </w:rPr>
              <w:t>》开设，并注重在职业模块的教学内容中体现专业特色。</w:t>
            </w:r>
          </w:p>
        </w:tc>
        <w:tc>
          <w:tcPr>
            <w:tcW w:w="1656" w:type="dxa"/>
            <w:noWrap w:val="0"/>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2105" w:type="dxa"/>
            <w:noWrap w:val="0"/>
            <w:vAlign w:val="center"/>
          </w:tcPr>
          <w:p>
            <w:pPr>
              <w:tabs>
                <w:tab w:val="left" w:pos="426"/>
                <w:tab w:val="left" w:pos="709"/>
              </w:tabs>
              <w:adjustRightInd w:val="0"/>
              <w:spacing w:line="300" w:lineRule="atLeast"/>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eastAsia="zh-CN"/>
              </w:rPr>
              <w:t>应用文写作</w:t>
            </w:r>
          </w:p>
        </w:tc>
        <w:tc>
          <w:tcPr>
            <w:tcW w:w="5087" w:type="dxa"/>
            <w:noWrap w:val="0"/>
            <w:vAlign w:val="center"/>
          </w:tcPr>
          <w:p>
            <w:pPr>
              <w:tabs>
                <w:tab w:val="left" w:pos="426"/>
                <w:tab w:val="left" w:pos="709"/>
              </w:tabs>
              <w:adjustRightInd w:val="0"/>
              <w:spacing w:line="240" w:lineRule="auto"/>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rPr>
              <w:t>依据《中等职业学校思想政治课程标准》开设，并与专业实际和行业发展密切结合。</w:t>
            </w:r>
          </w:p>
        </w:tc>
        <w:tc>
          <w:tcPr>
            <w:tcW w:w="1656" w:type="dxa"/>
            <w:noWrap w:val="0"/>
            <w:vAlign w:val="center"/>
          </w:tcPr>
          <w:p>
            <w:pPr>
              <w:tabs>
                <w:tab w:val="left" w:pos="426"/>
                <w:tab w:val="left" w:pos="709"/>
              </w:tabs>
              <w:adjustRightIn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14</w:t>
            </w:r>
          </w:p>
        </w:tc>
        <w:tc>
          <w:tcPr>
            <w:tcW w:w="2105" w:type="dxa"/>
            <w:noWrap w:val="0"/>
            <w:vAlign w:val="center"/>
          </w:tcPr>
          <w:p>
            <w:pPr>
              <w:tabs>
                <w:tab w:val="left" w:pos="426"/>
                <w:tab w:val="left" w:pos="709"/>
              </w:tabs>
              <w:adjustRightInd w:val="0"/>
              <w:spacing w:line="300" w:lineRule="atLeast"/>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eastAsia="zh-CN"/>
              </w:rPr>
              <w:t>书法</w:t>
            </w:r>
          </w:p>
        </w:tc>
        <w:tc>
          <w:tcPr>
            <w:tcW w:w="5087" w:type="dxa"/>
            <w:noWrap w:val="0"/>
            <w:vAlign w:val="center"/>
          </w:tcPr>
          <w:p>
            <w:pPr>
              <w:tabs>
                <w:tab w:val="left" w:pos="426"/>
                <w:tab w:val="left" w:pos="709"/>
              </w:tabs>
              <w:adjustRightInd w:val="0"/>
              <w:spacing w:line="240" w:lineRule="auto"/>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rPr>
              <w:t>依据《中等职业学校公共艺术课程标准》开设，并与专业实际和行业发展密切结合。</w:t>
            </w:r>
          </w:p>
        </w:tc>
        <w:tc>
          <w:tcPr>
            <w:tcW w:w="1656" w:type="dxa"/>
            <w:noWrap w:val="0"/>
            <w:vAlign w:val="center"/>
          </w:tcPr>
          <w:p>
            <w:pPr>
              <w:tabs>
                <w:tab w:val="left" w:pos="426"/>
                <w:tab w:val="left" w:pos="709"/>
              </w:tabs>
              <w:adjustRightIn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2105" w:type="dxa"/>
            <w:noWrap w:val="0"/>
            <w:vAlign w:val="center"/>
          </w:tcPr>
          <w:p>
            <w:pPr>
              <w:tabs>
                <w:tab w:val="left" w:pos="426"/>
                <w:tab w:val="left" w:pos="709"/>
              </w:tabs>
              <w:adjustRightInd w:val="0"/>
              <w:spacing w:line="300" w:lineRule="atLeast"/>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eastAsia="zh-CN"/>
              </w:rPr>
              <w:t>礼仪</w:t>
            </w:r>
          </w:p>
        </w:tc>
        <w:tc>
          <w:tcPr>
            <w:tcW w:w="5087" w:type="dxa"/>
            <w:noWrap w:val="0"/>
            <w:vAlign w:val="center"/>
          </w:tcPr>
          <w:p>
            <w:pPr>
              <w:tabs>
                <w:tab w:val="left" w:pos="426"/>
                <w:tab w:val="left" w:pos="709"/>
              </w:tabs>
              <w:adjustRightInd w:val="0"/>
              <w:spacing w:line="240" w:lineRule="auto"/>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rPr>
              <w:t>依据《中等职业学校公共艺术课程标准》开设，并与专业实际和行业发展密切结合。</w:t>
            </w:r>
          </w:p>
        </w:tc>
        <w:tc>
          <w:tcPr>
            <w:tcW w:w="1656" w:type="dxa"/>
            <w:noWrap w:val="0"/>
            <w:vAlign w:val="center"/>
          </w:tcPr>
          <w:p>
            <w:pPr>
              <w:tabs>
                <w:tab w:val="left" w:pos="426"/>
                <w:tab w:val="left" w:pos="709"/>
              </w:tabs>
              <w:adjustRightIn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val="en-US" w:eastAsia="zh-CN"/>
              </w:rPr>
              <w:t>40</w:t>
            </w:r>
          </w:p>
        </w:tc>
      </w:tr>
    </w:tbl>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（二）专业技能课及要求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1.绘画基础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通过研究造型的基本法则，对造型观念的形成和审美意识的培养起着重要的作用。掌握色彩的基本知识和表现技法。明确色彩构成的基本概念，掌握色彩在构成关系上的科学原理。了解相关色彩组合，变化的基本规律，明确使用色彩的目的性和功能性，为设计打下良好的美术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教学内容：</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素描几何形体、结构素描、动画素描人物的绘制、动物的绘制、道具的绘制。</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教学</w:t>
      </w:r>
      <w:r>
        <w:rPr>
          <w:rFonts w:hint="eastAsia" w:ascii="仿宋" w:hAnsi="仿宋" w:eastAsia="仿宋" w:cs="仿宋"/>
          <w:sz w:val="30"/>
          <w:szCs w:val="30"/>
        </w:rPr>
        <w:t>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通过课程单元的训练，学生能够熟练掌握素描的技能，掌握几何形体的明暗画法，掌握静物结构的基本方法，掌握人物的画法以及速写的画法。</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eastAsia="zh-CN"/>
        </w:rPr>
        <w:t>构成基础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本课程是中等职业数字影像技术类专业开设的一门重要的专业基础课程，主要培养学生的构成、色彩认知、审美、色彩语言驾奴等专业能力和方法能力，以及学生掌握图像构成能力，能辅助完成视频制作的需要。</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教学内容：</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Photoshop软件使用、AI课程软件使用、图形绘制、版式设计、海报设计。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教学</w:t>
      </w:r>
      <w:r>
        <w:rPr>
          <w:rFonts w:hint="eastAsia" w:ascii="仿宋" w:hAnsi="仿宋" w:eastAsia="仿宋" w:cs="仿宋"/>
          <w:sz w:val="30"/>
          <w:szCs w:val="30"/>
        </w:rPr>
        <w:t>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熟练掌握平面设计软件的使用；能独立完成版式设计、海报绘制。</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3.设计基础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课程是一门专业必修课程，是学生学习数字影像技术的重要前提。设计基础教学作为一个基础教学环节，培养学生兴趣，尊重学生的主体意识和个体差异，培养学生的创造性思维，为数字影像提供宽口径对接的教育人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教学内容：</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平面设计、Photoshop软件使用、图形绘制、版式设计、海报设计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熟练使用Photoshop软件，能够独立完成海报设计、版式设计、图形绘制。</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4.图形</w:t>
      </w:r>
      <w:r>
        <w:rPr>
          <w:rFonts w:hint="eastAsia" w:ascii="仿宋" w:hAnsi="仿宋" w:eastAsia="仿宋" w:cs="仿宋"/>
          <w:sz w:val="30"/>
          <w:szCs w:val="30"/>
          <w:lang w:eastAsia="zh-CN"/>
        </w:rPr>
        <w:t>图像制作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本课程是一门专业必修课程。通过本课程的学习，可使学生具备独立处理图像的能力，达到平面设计师、界面设计师、商业修图师、版式设计师、VI设计师的职业岗位能力要求。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教学内容：</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Photoshop基础知识色彩模式、特效滤镜、Web图片制作、图像的绘制与编辑、图像色彩的调整、图层、通道与蒙版、形状和路径、文字、滤镜、综合设计及图像的输出等知识、AI软件绘制形状和路径、文字并导出文件。</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教学</w:t>
      </w:r>
      <w:r>
        <w:rPr>
          <w:rFonts w:hint="eastAsia" w:ascii="仿宋" w:hAnsi="仿宋" w:eastAsia="仿宋" w:cs="仿宋"/>
          <w:sz w:val="30"/>
          <w:szCs w:val="30"/>
        </w:rPr>
        <w:t>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通过学习，学会logo设计、栏目包装定版动画、版式设计。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.摄影摄像</w:t>
      </w:r>
      <w:r>
        <w:rPr>
          <w:rFonts w:hint="eastAsia" w:ascii="仿宋" w:hAnsi="仿宋" w:eastAsia="仿宋" w:cs="仿宋"/>
          <w:sz w:val="30"/>
          <w:szCs w:val="30"/>
          <w:lang w:eastAsia="zh-CN"/>
        </w:rPr>
        <w:t>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全面、系统地阐述了摄影摄像的器材和配件、拍摄曝光、拍摄用光、拍摄构图技术。它是拍摄技术和计算机处理技术相结合的课程，既可以使学生掌握摄影摄像的基本知识，又可以使学生掌握摄影摄像的实践操作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教学内容：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摄影基础知识，光圈、快门、ISO的理解；单反相机的使用；多种镜头的不同用处和效果；摄影的拍摄流程和技巧； 摄影用光的讲解，常用人像摄影几种经典布光的使用；摄影构图的讲解，构图的基本原则；产品拍摄的布光技巧、静物拍摄分析及布光方法，能够拍摄产品效果图，并达到产品详情页的效果。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教学</w:t>
      </w:r>
      <w:r>
        <w:rPr>
          <w:rFonts w:hint="eastAsia" w:ascii="仿宋" w:hAnsi="仿宋" w:eastAsia="仿宋" w:cs="仿宋"/>
          <w:sz w:val="30"/>
          <w:szCs w:val="30"/>
        </w:rPr>
        <w:t>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系统地了解摄影器材和配件基本知识；掌握摄影的基本知识和基本操作；掌握各种专题摄影的基本知识和基本操作。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5.</w:t>
      </w:r>
      <w:r>
        <w:rPr>
          <w:rFonts w:hint="eastAsia" w:ascii="仿宋" w:hAnsi="仿宋" w:eastAsia="仿宋" w:cs="仿宋"/>
          <w:sz w:val="30"/>
          <w:szCs w:val="30"/>
          <w:lang w:eastAsia="zh-CN"/>
        </w:rPr>
        <w:t>视觉制作技术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cs="仿宋"/>
          <w:szCs w:val="30"/>
          <w:lang w:val="en-US" w:eastAsia="zh-CN"/>
        </w:rPr>
      </w:pPr>
      <w:r>
        <w:rPr>
          <w:rFonts w:hint="eastAsia" w:ascii="仿宋" w:hAnsi="仿宋" w:eastAsia="仿宋" w:cs="仿宋"/>
          <w:sz w:val="30"/>
          <w:szCs w:val="30"/>
          <w:lang w:val="en-US" w:eastAsia="zh-CN"/>
        </w:rPr>
        <w:t>本课程是随着移动终端和网络普及运用而产生的一种互联网传播方式，视频时间长度限定在1分钟内，要求创作的视频能在限定的时间长度内把内容表达清楚，并且能在创作平台收获大流量传播。本课程注重移动端视频的创作，要求学生熟练掌握相关APP软件的运用和</w:t>
      </w:r>
      <w:r>
        <w:rPr>
          <w:rFonts w:hint="eastAsia" w:ascii="仿宋" w:hAnsi="仿宋" w:cs="仿宋"/>
          <w:szCs w:val="30"/>
          <w:lang w:val="en-US" w:eastAsia="zh-CN"/>
        </w:rPr>
        <w:t>媒体平台的操作。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教学内容：</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熟练短视频创作方法，拓展学生对互联网经济与本专业相结合的认知，为后续专业课程的开展打好创作基础。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通过学习，掌握短视频相关软件，并能熟练创作短视频作品。</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7.</w:t>
      </w:r>
      <w:r>
        <w:rPr>
          <w:rFonts w:hint="eastAsia" w:ascii="仿宋" w:hAnsi="仿宋" w:eastAsia="仿宋" w:cs="仿宋"/>
          <w:sz w:val="30"/>
          <w:szCs w:val="30"/>
          <w:lang w:eastAsia="zh-CN"/>
        </w:rPr>
        <w:t>影视特效</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本课程是一门影视后期栏目包装的专业必修课程，AE是Adobe公司开发的一个视频剪辑及设计软件， 是制作动态影像设计不可或缺的辅助工具，是视频后期合成处理的专业非线性编辑软件。 After Effects应用范围广泛，涵盖影片、电影、广告、多媒体以及网页等，时下最流行的一些电脑游戏，很多都使用它进行合成制作。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教学内容：</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了解层模式；掌握Timeline窗口的基本操作；熟练完成合成层的嵌套以及叠加模式、轨道蒙板、遮罩等的运用，认识Channel、抠像功能插件Primatte Keyer、了解After Effects中的三维空间，能制作AE中的三维空间动画；熟练应用3D效果，了解运动追踪的几种方式；熟练掌握运动跟踪设置数等。</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教学</w:t>
      </w:r>
      <w:r>
        <w:rPr>
          <w:rFonts w:hint="eastAsia" w:ascii="仿宋" w:hAnsi="仿宋" w:eastAsia="仿宋" w:cs="仿宋"/>
          <w:sz w:val="30"/>
          <w:szCs w:val="30"/>
        </w:rPr>
        <w:t>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通过本课程的学习，掌握后期制作基本原理、概念及方法，后期制作软件After Effect的合成技巧。能独立完成一个后期加工的作品。</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8.</w:t>
      </w:r>
      <w:r>
        <w:rPr>
          <w:rFonts w:hint="eastAsia" w:ascii="仿宋" w:hAnsi="仿宋" w:eastAsia="仿宋" w:cs="仿宋"/>
          <w:sz w:val="30"/>
          <w:szCs w:val="30"/>
          <w:lang w:eastAsia="zh-CN"/>
        </w:rPr>
        <w:t>影视剪辑技术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本课程是数字媒体专业中应用广泛的一门专业群平台课程，本课程集软件操作、镜头剪辑、视频调色于一体，通过讲授Adobe Premiere Pro软件操作、镜头组接的基本规律、色彩理论等专业知识，使学生快速掌影视后期的基本知识和运用能力，为以后的工作打下基础。注重学生掌握逻辑思维、形象思维和直觉思维三种设计思维方法，能运用在实际设计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教学内容：</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初识Premiere、影视剪辑技术、视频切换效果、视频特效应用、调色抠像技术、字幕设置、字幕特效与运动、音频效果。掌握剪辑的方法与技巧，不同内容形式的片段剪辑。</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通过学习，对Adobe Premiere Pro软件的基本操作熟练与高级剪辑的方法。</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9.全媒体影像技术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媒体影像技术作为新兴出现的职业，它属于新媒体运营或者互联网运营体系下的分支，即利用抖音、微视、火山、快手等短视频平台进行产品宣传、推广、企业营销的一系列活动。通过策划品牌相关的优质、高度传播性的视频内容，向客户广泛或者精准推送消息，提高知名度，从而充分利用粉丝经济，达到相应营销目的。</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教学内容：</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课程以抖音短视频平台运营为例，讲解短视频推荐机制、内容选题规划、权重提升、脚本撰写、数据分析、情景剧制作、Vlog制作、短视频账号付费推广形式、短视频平台变现行情、短视频如何打造网红IP、实体行业如何利用短视频进行营销、抖音/快手直播、MCN机构如何运作等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能够准确了解大数据时代短视频及直播的行业运行规律，兼具一定的策划、运营短视频及直播的能力，并熟练掌握短视频及直播的创作技能，发挥短视频的工具性作用结合各行业、各专业需求创造，创新出形式新颖、思想健康、功能多样的优质新媒体影像作品，并应用于生活与工作的各个领域。</w:t>
      </w:r>
    </w:p>
    <w:p>
      <w:pPr>
        <w:spacing w:line="480" w:lineRule="exact"/>
        <w:ind w:firstLine="560" w:firstLineChars="200"/>
        <w:jc w:val="center"/>
        <w:rPr>
          <w:rFonts w:hint="eastAsia"/>
          <w:b/>
          <w:sz w:val="28"/>
          <w:szCs w:val="28"/>
        </w:rPr>
      </w:pPr>
      <w:r>
        <w:rPr>
          <w:rFonts w:hint="eastAsia"/>
          <w:b/>
          <w:sz w:val="28"/>
          <w:szCs w:val="28"/>
        </w:rPr>
        <w:t>专业课程设置及学时分配</w:t>
      </w:r>
    </w:p>
    <w:tbl>
      <w:tblPr>
        <w:tblStyle w:val="19"/>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05"/>
        <w:gridCol w:w="6735"/>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76" w:type="dxa"/>
            <w:tcBorders>
              <w:top w:val="single" w:color="auto" w:sz="8" w:space="0"/>
              <w:left w:val="single" w:color="auto" w:sz="8" w:space="0"/>
              <w:bottom w:val="single" w:color="auto" w:sz="8" w:space="0"/>
              <w:right w:val="single" w:color="auto" w:sz="4" w:space="0"/>
            </w:tcBorders>
            <w:noWrap w:val="0"/>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1505" w:type="dxa"/>
            <w:tcBorders>
              <w:top w:val="single" w:color="auto" w:sz="8" w:space="0"/>
              <w:left w:val="single" w:color="auto" w:sz="4" w:space="0"/>
              <w:bottom w:val="single" w:color="auto" w:sz="8" w:space="0"/>
              <w:right w:val="single" w:color="auto" w:sz="4" w:space="0"/>
            </w:tcBorders>
            <w:noWrap w:val="0"/>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735" w:type="dxa"/>
            <w:tcBorders>
              <w:top w:val="single" w:color="auto" w:sz="8" w:space="0"/>
              <w:left w:val="single" w:color="auto" w:sz="4" w:space="0"/>
              <w:bottom w:val="single" w:color="auto" w:sz="8" w:space="0"/>
              <w:right w:val="single" w:color="auto" w:sz="4" w:space="0"/>
            </w:tcBorders>
            <w:noWrap w:val="0"/>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762" w:type="dxa"/>
            <w:tcBorders>
              <w:top w:val="single" w:color="auto" w:sz="8" w:space="0"/>
              <w:left w:val="single" w:color="auto" w:sz="4" w:space="0"/>
              <w:bottom w:val="single" w:color="auto" w:sz="8" w:space="0"/>
              <w:right w:val="single" w:color="auto" w:sz="8" w:space="0"/>
            </w:tcBorders>
            <w:noWrap w:val="0"/>
            <w:vAlign w:val="center"/>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76" w:type="dxa"/>
            <w:tcBorders>
              <w:top w:val="single" w:color="auto" w:sz="8" w:space="0"/>
              <w:left w:val="single" w:color="auto" w:sz="8" w:space="0"/>
              <w:bottom w:val="single" w:color="auto" w:sz="4" w:space="0"/>
              <w:right w:val="single" w:color="auto" w:sz="4" w:space="0"/>
            </w:tcBorders>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1505" w:type="dxa"/>
            <w:tcBorders>
              <w:top w:val="single" w:color="auto" w:sz="8" w:space="0"/>
              <w:left w:val="single" w:color="auto" w:sz="4"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绘画基础</w:t>
            </w:r>
          </w:p>
        </w:tc>
        <w:tc>
          <w:tcPr>
            <w:tcW w:w="6735" w:type="dxa"/>
            <w:tcBorders>
              <w:top w:val="single" w:color="auto" w:sz="8"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z w:val="21"/>
                <w:szCs w:val="21"/>
              </w:rPr>
              <w:t>通过课程单元的训练，学生能够熟练掌握动漫素描的技能，掌握几何形体的明暗画法，掌握静物结构的基本方法，掌握人物的画法以及速写的画法。</w:t>
            </w:r>
          </w:p>
        </w:tc>
        <w:tc>
          <w:tcPr>
            <w:tcW w:w="762" w:type="dxa"/>
            <w:tcBorders>
              <w:top w:val="single" w:color="auto" w:sz="8" w:space="0"/>
              <w:left w:val="single" w:color="auto" w:sz="4" w:space="0"/>
              <w:bottom w:val="single" w:color="auto" w:sz="4" w:space="0"/>
              <w:right w:val="single" w:color="auto" w:sz="8" w:space="0"/>
            </w:tcBorders>
            <w:noWrap w:val="0"/>
            <w:vAlign w:val="center"/>
          </w:tcPr>
          <w:p>
            <w:pPr>
              <w:pStyle w:val="62"/>
              <w:spacing w:line="30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76" w:type="dxa"/>
            <w:tcBorders>
              <w:top w:val="single" w:color="auto" w:sz="8" w:space="0"/>
              <w:left w:val="single" w:color="auto" w:sz="8" w:space="0"/>
              <w:bottom w:val="single" w:color="auto" w:sz="8" w:space="0"/>
              <w:right w:val="single" w:color="auto" w:sz="4" w:space="0"/>
            </w:tcBorders>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1505" w:type="dxa"/>
            <w:tcBorders>
              <w:top w:val="single" w:color="auto" w:sz="8" w:space="0"/>
              <w:left w:val="single" w:color="auto" w:sz="4" w:space="0"/>
              <w:bottom w:val="single" w:color="auto" w:sz="8" w:space="0"/>
              <w:right w:val="single" w:color="auto" w:sz="4"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构成基础</w:t>
            </w:r>
          </w:p>
        </w:tc>
        <w:tc>
          <w:tcPr>
            <w:tcW w:w="6735" w:type="dxa"/>
            <w:tcBorders>
              <w:top w:val="single" w:color="auto" w:sz="8" w:space="0"/>
              <w:left w:val="single" w:color="auto" w:sz="4" w:space="0"/>
              <w:bottom w:val="single" w:color="auto" w:sz="8" w:space="0"/>
              <w:right w:val="single" w:color="auto" w:sz="4" w:space="0"/>
            </w:tcBorders>
            <w:noWrap w:val="0"/>
            <w:vAlign w:val="center"/>
          </w:tcPr>
          <w:p>
            <w:pPr>
              <w:adjustRightInd w:val="0"/>
              <w:spacing w:line="240" w:lineRule="auto"/>
              <w:ind w:firstLine="0" w:firstLineChars="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z w:val="21"/>
                <w:szCs w:val="21"/>
                <w:lang w:val="en-US" w:eastAsia="zh-CN"/>
              </w:rPr>
              <w:t>熟练掌握平面设计软件的使用；能独立完成版式设计、海报绘制。</w:t>
            </w:r>
          </w:p>
        </w:tc>
        <w:tc>
          <w:tcPr>
            <w:tcW w:w="762" w:type="dxa"/>
            <w:tcBorders>
              <w:top w:val="single" w:color="auto" w:sz="8" w:space="0"/>
              <w:left w:val="single" w:color="auto" w:sz="4" w:space="0"/>
              <w:bottom w:val="single" w:color="auto" w:sz="8" w:space="0"/>
              <w:right w:val="single" w:color="auto" w:sz="8" w:space="0"/>
            </w:tcBorders>
            <w:noWrap w:val="0"/>
            <w:vAlign w:val="center"/>
          </w:tcPr>
          <w:p>
            <w:pPr>
              <w:pStyle w:val="62"/>
              <w:spacing w:line="30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76" w:type="dxa"/>
            <w:tcBorders>
              <w:top w:val="single" w:color="auto" w:sz="8" w:space="0"/>
              <w:left w:val="single" w:color="auto" w:sz="8" w:space="0"/>
              <w:bottom w:val="single" w:color="auto" w:sz="8"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3</w:t>
            </w:r>
          </w:p>
        </w:tc>
        <w:tc>
          <w:tcPr>
            <w:tcW w:w="1505" w:type="dxa"/>
            <w:tcBorders>
              <w:top w:val="single" w:color="auto" w:sz="8" w:space="0"/>
              <w:left w:val="single" w:color="auto" w:sz="4" w:space="0"/>
              <w:bottom w:val="single" w:color="auto" w:sz="8" w:space="0"/>
              <w:right w:val="single" w:color="auto" w:sz="4"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设计基础</w:t>
            </w:r>
          </w:p>
        </w:tc>
        <w:tc>
          <w:tcPr>
            <w:tcW w:w="6735" w:type="dxa"/>
            <w:tcBorders>
              <w:top w:val="single" w:color="auto" w:sz="8" w:space="0"/>
              <w:left w:val="single" w:color="auto" w:sz="4" w:space="0"/>
              <w:bottom w:val="single" w:color="auto" w:sz="8" w:space="0"/>
              <w:right w:val="single" w:color="auto" w:sz="4" w:space="0"/>
            </w:tcBorders>
            <w:noWrap w:val="0"/>
            <w:vAlign w:val="center"/>
          </w:tcPr>
          <w:p>
            <w:pPr>
              <w:numPr>
                <w:ilvl w:val="0"/>
                <w:numId w:val="0"/>
              </w:numPr>
              <w:spacing w:line="240" w:lineRule="auto"/>
              <w:ind w:left="0" w:leftChars="0" w:firstLine="0" w:firstLineChars="0"/>
              <w:jc w:val="both"/>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熟练使用Photoshop软件，能够独立完成海报设计、版式设计、图形绘制。</w:t>
            </w:r>
          </w:p>
        </w:tc>
        <w:tc>
          <w:tcPr>
            <w:tcW w:w="762" w:type="dxa"/>
            <w:tcBorders>
              <w:top w:val="single" w:color="auto" w:sz="8" w:space="0"/>
              <w:left w:val="single" w:color="auto" w:sz="4" w:space="0"/>
              <w:bottom w:val="single" w:color="auto" w:sz="8"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6"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w:t>
            </w:r>
          </w:p>
        </w:tc>
        <w:tc>
          <w:tcPr>
            <w:tcW w:w="1505" w:type="dxa"/>
            <w:tcBorders>
              <w:top w:val="single" w:color="auto" w:sz="8" w:space="0"/>
              <w:left w:val="single" w:color="auto" w:sz="4"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图形图形制作</w:t>
            </w:r>
          </w:p>
        </w:tc>
        <w:tc>
          <w:tcPr>
            <w:tcW w:w="6735" w:type="dxa"/>
            <w:tcBorders>
              <w:top w:val="single" w:color="auto" w:sz="8"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position w:val="0"/>
                <w:sz w:val="21"/>
                <w:szCs w:val="21"/>
                <w:lang w:val="en-US" w:eastAsia="zh-CN" w:bidi="ar-SA"/>
              </w:rPr>
              <w:t>通过学习，学会logo设计、栏目包装定版动画、版式设计。</w:t>
            </w:r>
          </w:p>
        </w:tc>
        <w:tc>
          <w:tcPr>
            <w:tcW w:w="762" w:type="dxa"/>
            <w:tcBorders>
              <w:top w:val="single" w:color="auto" w:sz="8" w:space="0"/>
              <w:left w:val="single" w:color="auto" w:sz="4" w:space="0"/>
              <w:bottom w:val="single" w:color="auto" w:sz="4"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r>
    </w:tbl>
    <w:p>
      <w:pPr>
        <w:spacing w:line="480" w:lineRule="exact"/>
        <w:ind w:firstLine="560" w:firstLineChars="200"/>
        <w:jc w:val="center"/>
        <w:rPr>
          <w:rFonts w:hint="eastAsia"/>
          <w:b/>
          <w:sz w:val="28"/>
          <w:szCs w:val="28"/>
        </w:rPr>
      </w:pPr>
    </w:p>
    <w:p>
      <w:pPr>
        <w:spacing w:line="480" w:lineRule="exact"/>
        <w:ind w:firstLine="560" w:firstLineChars="200"/>
        <w:jc w:val="center"/>
        <w:rPr>
          <w:rFonts w:hint="eastAsia"/>
          <w:b/>
          <w:sz w:val="28"/>
          <w:szCs w:val="28"/>
        </w:rPr>
      </w:pPr>
      <w:r>
        <w:rPr>
          <w:rFonts w:hint="eastAsia"/>
          <w:b/>
          <w:sz w:val="28"/>
          <w:szCs w:val="28"/>
        </w:rPr>
        <w:t>专业选修课程设置及学时分配</w:t>
      </w:r>
    </w:p>
    <w:p>
      <w:pPr>
        <w:tabs>
          <w:tab w:val="left" w:pos="3840"/>
        </w:tabs>
        <w:spacing w:line="480" w:lineRule="exact"/>
        <w:jc w:val="center"/>
      </w:pPr>
    </w:p>
    <w:tbl>
      <w:tblPr>
        <w:tblStyle w:val="19"/>
        <w:tblW w:w="9898" w:type="dxa"/>
        <w:jc w:val="center"/>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77"/>
        <w:gridCol w:w="7178"/>
        <w:gridCol w:w="751"/>
      </w:tblGrid>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92" w:type="dxa"/>
            <w:tcBorders>
              <w:top w:val="single" w:color="auto" w:sz="8" w:space="0"/>
              <w:left w:val="single" w:color="auto" w:sz="8" w:space="0"/>
              <w:bottom w:val="single" w:color="auto" w:sz="8" w:space="0"/>
              <w:right w:val="single" w:color="auto" w:sz="4" w:space="0"/>
            </w:tcBorders>
            <w:noWrap w:val="0"/>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1177" w:type="dxa"/>
            <w:tcBorders>
              <w:top w:val="single" w:color="auto" w:sz="8" w:space="0"/>
              <w:left w:val="single" w:color="auto" w:sz="4" w:space="0"/>
              <w:bottom w:val="single" w:color="auto" w:sz="8" w:space="0"/>
              <w:right w:val="single" w:color="auto" w:sz="4" w:space="0"/>
            </w:tcBorders>
            <w:noWrap w:val="0"/>
            <w:vAlign w:val="center"/>
          </w:tcPr>
          <w:p>
            <w:pPr>
              <w:pStyle w:val="62"/>
              <w:spacing w:line="300" w:lineRule="atLeast"/>
              <w:jc w:val="center"/>
              <w:rPr>
                <w:rFonts w:hAnsi="黑体" w:eastAsia="黑体"/>
                <w:sz w:val="24"/>
                <w:szCs w:val="24"/>
              </w:rPr>
            </w:pPr>
            <w:r>
              <w:rPr>
                <w:rFonts w:hAnsi="黑体" w:eastAsia="黑体"/>
                <w:sz w:val="24"/>
                <w:szCs w:val="24"/>
              </w:rPr>
              <w:t>课程</w:t>
            </w:r>
          </w:p>
          <w:p>
            <w:pPr>
              <w:pStyle w:val="62"/>
              <w:spacing w:line="300" w:lineRule="atLeast"/>
              <w:jc w:val="center"/>
              <w:rPr>
                <w:rFonts w:hAnsi="黑体" w:eastAsia="黑体"/>
                <w:sz w:val="24"/>
                <w:szCs w:val="24"/>
              </w:rPr>
            </w:pPr>
            <w:r>
              <w:rPr>
                <w:rFonts w:hAnsi="黑体" w:eastAsia="黑体"/>
                <w:sz w:val="24"/>
                <w:szCs w:val="24"/>
              </w:rPr>
              <w:t>名称</w:t>
            </w:r>
          </w:p>
        </w:tc>
        <w:tc>
          <w:tcPr>
            <w:tcW w:w="7178" w:type="dxa"/>
            <w:tcBorders>
              <w:top w:val="single" w:color="auto" w:sz="8" w:space="0"/>
              <w:left w:val="single" w:color="auto" w:sz="4" w:space="0"/>
              <w:bottom w:val="single" w:color="auto" w:sz="8" w:space="0"/>
              <w:right w:val="single" w:color="auto" w:sz="4" w:space="0"/>
            </w:tcBorders>
            <w:noWrap w:val="0"/>
            <w:vAlign w:val="center"/>
          </w:tcPr>
          <w:p>
            <w:pPr>
              <w:pStyle w:val="62"/>
              <w:spacing w:line="300" w:lineRule="atLeast"/>
              <w:jc w:val="center"/>
              <w:rPr>
                <w:rFonts w:hAnsi="黑体" w:eastAsia="黑体"/>
                <w:sz w:val="24"/>
                <w:szCs w:val="24"/>
              </w:rPr>
            </w:pPr>
            <w:r>
              <w:rPr>
                <w:rFonts w:hAnsi="黑体" w:eastAsia="黑体"/>
                <w:sz w:val="24"/>
                <w:szCs w:val="24"/>
              </w:rPr>
              <w:t>主要教学内容和要求</w:t>
            </w:r>
          </w:p>
        </w:tc>
        <w:tc>
          <w:tcPr>
            <w:tcW w:w="751" w:type="dxa"/>
            <w:tcBorders>
              <w:top w:val="single" w:color="auto" w:sz="8" w:space="0"/>
              <w:left w:val="single" w:color="auto" w:sz="4" w:space="0"/>
              <w:bottom w:val="single" w:color="auto" w:sz="8" w:space="0"/>
              <w:right w:val="single" w:color="auto" w:sz="8" w:space="0"/>
            </w:tcBorders>
            <w:noWrap w:val="0"/>
            <w:vAlign w:val="top"/>
          </w:tcPr>
          <w:p>
            <w:pPr>
              <w:pStyle w:val="62"/>
              <w:spacing w:line="300" w:lineRule="atLeast"/>
              <w:jc w:val="center"/>
              <w:rPr>
                <w:rFonts w:hAnsi="黑体" w:eastAsia="黑体"/>
                <w:sz w:val="24"/>
                <w:szCs w:val="24"/>
              </w:rPr>
            </w:pPr>
            <w:r>
              <w:rPr>
                <w:rFonts w:hAnsi="黑体" w:eastAsia="黑体"/>
                <w:sz w:val="24"/>
                <w:szCs w:val="24"/>
              </w:rPr>
              <w:t>参考学时</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2"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1</w:t>
            </w:r>
          </w:p>
        </w:tc>
        <w:tc>
          <w:tcPr>
            <w:tcW w:w="1177" w:type="dxa"/>
            <w:tcBorders>
              <w:top w:val="single" w:color="auto" w:sz="8" w:space="0"/>
              <w:left w:val="single" w:color="auto" w:sz="4" w:space="0"/>
              <w:bottom w:val="single" w:color="auto" w:sz="4" w:space="0"/>
              <w:right w:val="single" w:color="auto" w:sz="4" w:space="0"/>
            </w:tcBorders>
            <w:noWrap w:val="0"/>
            <w:vAlign w:val="center"/>
          </w:tcPr>
          <w:p>
            <w:pPr>
              <w:pStyle w:val="62"/>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摄影摄像技术</w:t>
            </w:r>
          </w:p>
        </w:tc>
        <w:tc>
          <w:tcPr>
            <w:tcW w:w="7178" w:type="dxa"/>
            <w:tcBorders>
              <w:top w:val="single" w:color="auto" w:sz="8" w:space="0"/>
              <w:left w:val="single" w:color="auto" w:sz="4" w:space="0"/>
              <w:bottom w:val="single" w:color="auto" w:sz="4" w:space="0"/>
              <w:right w:val="single" w:color="auto" w:sz="4" w:space="0"/>
            </w:tcBorders>
            <w:noWrap w:val="0"/>
            <w:vAlign w:val="top"/>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系统地了解摄影器材和配件基本知识；掌握摄影的基本知识和基本操作；掌握各种专题摄影的基本知识和基本操作，能独立完成摄像或微电影作品制作。</w:t>
            </w:r>
          </w:p>
        </w:tc>
        <w:tc>
          <w:tcPr>
            <w:tcW w:w="751" w:type="dxa"/>
            <w:tcBorders>
              <w:top w:val="single" w:color="auto" w:sz="8" w:space="0"/>
              <w:left w:val="single" w:color="auto" w:sz="4" w:space="0"/>
              <w:bottom w:val="single" w:color="auto" w:sz="4"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792" w:type="dxa"/>
            <w:tcBorders>
              <w:top w:val="single" w:color="auto" w:sz="4"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Style w:val="62"/>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影视剪辑</w:t>
            </w:r>
            <w:r>
              <w:rPr>
                <w:rFonts w:hint="eastAsia" w:ascii="宋体" w:hAnsi="宋体" w:eastAsia="宋体" w:cs="宋体"/>
                <w:sz w:val="21"/>
                <w:szCs w:val="21"/>
                <w:lang w:val="en-US" w:eastAsia="zh-CN"/>
              </w:rPr>
              <w:t>技艺</w:t>
            </w:r>
          </w:p>
        </w:tc>
        <w:tc>
          <w:tcPr>
            <w:tcW w:w="7178" w:type="dxa"/>
            <w:tcBorders>
              <w:top w:val="single" w:color="auto" w:sz="4" w:space="0"/>
              <w:left w:val="single" w:color="auto" w:sz="4" w:space="0"/>
              <w:bottom w:val="single" w:color="auto" w:sz="4" w:space="0"/>
              <w:right w:val="single" w:color="auto" w:sz="4" w:space="0"/>
            </w:tcBorders>
            <w:noWrap w:val="0"/>
            <w:vAlign w:val="top"/>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初识了解Premiere和基本操作；掌握Premiere影视剪辑技术；掌握视频转场效果；掌握视频特效的应用技巧；掌握字幕、字幕特效与运动设置的方法；掌握加入音频效果的方法；掌握文件输出的方法；对Adobe Premiere Pro软件的基本操作熟练与高级剪辑的方法。</w:t>
            </w:r>
          </w:p>
        </w:tc>
        <w:tc>
          <w:tcPr>
            <w:tcW w:w="751" w:type="dxa"/>
            <w:tcBorders>
              <w:top w:val="single" w:color="auto" w:sz="4" w:space="0"/>
              <w:left w:val="single" w:color="auto" w:sz="4" w:space="0"/>
              <w:bottom w:val="single" w:color="auto" w:sz="4"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92" w:type="dxa"/>
            <w:tcBorders>
              <w:top w:val="single" w:color="auto" w:sz="4"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3</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Style w:val="62"/>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影视</w:t>
            </w:r>
            <w:r>
              <w:rPr>
                <w:rFonts w:hint="eastAsia" w:ascii="宋体" w:hAnsi="宋体" w:eastAsia="宋体" w:cs="宋体"/>
                <w:sz w:val="21"/>
                <w:szCs w:val="21"/>
                <w:lang w:val="en-US" w:eastAsia="zh-CN"/>
              </w:rPr>
              <w:t>特技</w:t>
            </w:r>
          </w:p>
        </w:tc>
        <w:tc>
          <w:tcPr>
            <w:tcW w:w="7178" w:type="dxa"/>
            <w:tcBorders>
              <w:top w:val="single" w:color="auto" w:sz="4" w:space="0"/>
              <w:left w:val="single" w:color="auto" w:sz="4" w:space="0"/>
              <w:bottom w:val="single" w:color="auto" w:sz="4" w:space="0"/>
              <w:right w:val="single" w:color="auto" w:sz="4" w:space="0"/>
            </w:tcBorders>
            <w:noWrap w:val="0"/>
            <w:vAlign w:val="top"/>
          </w:tcPr>
          <w:p>
            <w:pPr>
              <w:pStyle w:val="62"/>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通过本课程的学习，掌握后期制作基本原理、概念及方法，后期制作软件After Effect的合成技巧。能独立完成一个后期加工的作品。</w:t>
            </w:r>
          </w:p>
        </w:tc>
        <w:tc>
          <w:tcPr>
            <w:tcW w:w="751" w:type="dxa"/>
            <w:tcBorders>
              <w:top w:val="single" w:color="auto" w:sz="4" w:space="0"/>
              <w:left w:val="single" w:color="auto" w:sz="4" w:space="0"/>
              <w:bottom w:val="single" w:color="auto" w:sz="4"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92" w:type="dxa"/>
            <w:tcBorders>
              <w:top w:val="single" w:color="auto" w:sz="4"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Style w:val="62"/>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视觉制作技术</w:t>
            </w:r>
          </w:p>
        </w:tc>
        <w:tc>
          <w:tcPr>
            <w:tcW w:w="7178" w:type="dxa"/>
            <w:tcBorders>
              <w:top w:val="single" w:color="auto" w:sz="4" w:space="0"/>
              <w:left w:val="single" w:color="auto" w:sz="4" w:space="0"/>
              <w:bottom w:val="single" w:color="auto" w:sz="4" w:space="0"/>
              <w:right w:val="single" w:color="auto" w:sz="4" w:space="0"/>
            </w:tcBorders>
            <w:noWrap w:val="0"/>
            <w:vAlign w:val="top"/>
          </w:tcPr>
          <w:p>
            <w:pPr>
              <w:pStyle w:val="62"/>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让学生深入掌握影视作品的创作技巧和方法，通过细致拆解影视作品的</w:t>
            </w:r>
            <w:r>
              <w:rPr>
                <w:rFonts w:hint="eastAsia" w:ascii="宋体" w:hAnsi="宋体" w:eastAsia="宋体" w:cs="宋体"/>
                <w:sz w:val="21"/>
                <w:szCs w:val="21"/>
                <w:lang w:eastAsia="zh-CN"/>
              </w:rPr>
              <w:t>熟练短视频创作方法，拓展学生对互联网经济与本专业相结合的认知，为后续专业课程的开展打好创作基础。</w:t>
            </w:r>
          </w:p>
        </w:tc>
        <w:tc>
          <w:tcPr>
            <w:tcW w:w="751" w:type="dxa"/>
            <w:tcBorders>
              <w:top w:val="single" w:color="auto" w:sz="4" w:space="0"/>
              <w:left w:val="single" w:color="auto" w:sz="4" w:space="0"/>
              <w:bottom w:val="single" w:color="auto" w:sz="4"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92" w:type="dxa"/>
            <w:tcBorders>
              <w:top w:val="single" w:color="auto" w:sz="4" w:space="0"/>
              <w:left w:val="single" w:color="auto" w:sz="8" w:space="0"/>
              <w:bottom w:val="single" w:color="auto" w:sz="8" w:space="0"/>
              <w:right w:val="single" w:color="auto" w:sz="4"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77" w:type="dxa"/>
            <w:tcBorders>
              <w:top w:val="single" w:color="auto" w:sz="4" w:space="0"/>
              <w:left w:val="single" w:color="auto" w:sz="4" w:space="0"/>
              <w:bottom w:val="single" w:color="auto" w:sz="8" w:space="0"/>
              <w:right w:val="single" w:color="auto" w:sz="4" w:space="0"/>
            </w:tcBorders>
            <w:noWrap w:val="0"/>
            <w:vAlign w:val="center"/>
          </w:tcPr>
          <w:p>
            <w:pPr>
              <w:pStyle w:val="62"/>
              <w:ind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全媒体</w:t>
            </w:r>
          </w:p>
          <w:p>
            <w:pPr>
              <w:pStyle w:val="62"/>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影像技术</w:t>
            </w:r>
          </w:p>
        </w:tc>
        <w:tc>
          <w:tcPr>
            <w:tcW w:w="7178" w:type="dxa"/>
            <w:tcBorders>
              <w:top w:val="single" w:color="auto" w:sz="4" w:space="0"/>
              <w:left w:val="single" w:color="auto" w:sz="4" w:space="0"/>
              <w:bottom w:val="single" w:color="auto" w:sz="8" w:space="0"/>
              <w:right w:val="single" w:color="auto" w:sz="4" w:space="0"/>
            </w:tcBorders>
            <w:noWrap w:val="0"/>
            <w:vAlign w:val="top"/>
          </w:tcPr>
          <w:p>
            <w:pPr>
              <w:adjustRightInd w:val="0"/>
              <w:spacing w:line="240" w:lineRule="auto"/>
              <w:ind w:left="0" w:leftChars="0" w:firstLine="0" w:firstLineChars="0"/>
              <w:rPr>
                <w:rFonts w:hint="eastAsia" w:ascii="宋体" w:hAnsi="宋体" w:eastAsia="宋体" w:cs="宋体"/>
                <w:snapToGrid w:val="0"/>
                <w:kern w:val="2"/>
                <w:sz w:val="21"/>
                <w:szCs w:val="21"/>
                <w:lang w:val="en-US" w:eastAsia="zh-CN" w:bidi="ar-SA"/>
              </w:rPr>
            </w:pPr>
            <w:r>
              <w:rPr>
                <w:rFonts w:hint="eastAsia" w:ascii="宋体" w:hAnsi="宋体" w:eastAsia="宋体" w:cs="宋体"/>
                <w:color w:val="000000"/>
                <w:sz w:val="21"/>
                <w:szCs w:val="21"/>
              </w:rPr>
              <w:t>能够准确了解大数据时代短视频及直播的行业运行规律，兼具一定的策划、运营短视频及直播的能力，并熟练掌握短视频及直播的创作技能，发挥短视频的工具性作用结合各行业、各专业需求创造，创新出形式新颖、思想健康、功能多样的优质新媒体影像作品，并应用于生活与工作的各个领域。</w:t>
            </w:r>
          </w:p>
        </w:tc>
        <w:tc>
          <w:tcPr>
            <w:tcW w:w="751" w:type="dxa"/>
            <w:tcBorders>
              <w:top w:val="single" w:color="auto" w:sz="4" w:space="0"/>
              <w:left w:val="single" w:color="auto" w:sz="4" w:space="0"/>
              <w:bottom w:val="single" w:color="auto" w:sz="8"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w:t>
            </w:r>
          </w:p>
        </w:tc>
      </w:tr>
    </w:tbl>
    <w:p>
      <w:pPr>
        <w:pStyle w:val="101"/>
        <w:snapToGrid/>
        <w:spacing w:before="0" w:beforeLines="0" w:after="0" w:afterLines="0" w:line="480" w:lineRule="exact"/>
        <w:ind w:left="0" w:leftChars="0" w:firstLine="0" w:firstLineChars="0"/>
        <w:jc w:val="both"/>
        <w:rPr>
          <w:rFonts w:hint="eastAsia" w:eastAsia="黑体"/>
        </w:rPr>
      </w:pPr>
    </w:p>
    <w:p>
      <w:pPr>
        <w:overflowPunct w:val="0"/>
        <w:ind w:firstLine="600" w:firstLineChars="200"/>
        <w:rPr>
          <w:rFonts w:hint="eastAsia"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1.基本要求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每学年为52周，其中教学时间40周（含复习考试），累计假期12周。周学时一般为28学时。顶岗实习按每周30小时（1小时折合1学时）安排。</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公共基础课学时约占总学时的1/3。</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专业技能课学时约占总学时的2/3，在确保学生实习总量的前提下，根据实际需要集中或分阶段安排实习时间。</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课程设置中设选修课，其学时数占总学时的比例不少于10%。</w:t>
      </w:r>
    </w:p>
    <w:p>
      <w:pPr>
        <w:spacing w:line="480" w:lineRule="exact"/>
        <w:ind w:firstLine="600" w:firstLineChars="200"/>
        <w:rPr>
          <w:rFonts w:hint="eastAsia"/>
        </w:rPr>
      </w:pPr>
      <w:r>
        <w:rPr>
          <w:rFonts w:hint="eastAsia" w:ascii="楷体" w:hAnsi="楷体" w:eastAsia="楷体" w:cs="楷体"/>
          <w:sz w:val="30"/>
          <w:szCs w:val="30"/>
        </w:rPr>
        <w:t>2. 教学进度计划安排表</w:t>
      </w:r>
    </w:p>
    <w:tbl>
      <w:tblPr>
        <w:tblStyle w:val="19"/>
        <w:tblW w:w="10672" w:type="dxa"/>
        <w:jc w:val="center"/>
        <w:tblLayout w:type="fixed"/>
        <w:tblCellMar>
          <w:top w:w="0" w:type="dxa"/>
          <w:left w:w="108" w:type="dxa"/>
          <w:bottom w:w="0" w:type="dxa"/>
          <w:right w:w="108" w:type="dxa"/>
        </w:tblCellMar>
      </w:tblPr>
      <w:tblGrid>
        <w:gridCol w:w="628"/>
        <w:gridCol w:w="503"/>
        <w:gridCol w:w="2882"/>
        <w:gridCol w:w="715"/>
        <w:gridCol w:w="696"/>
        <w:gridCol w:w="665"/>
        <w:gridCol w:w="456"/>
        <w:gridCol w:w="456"/>
        <w:gridCol w:w="456"/>
        <w:gridCol w:w="456"/>
        <w:gridCol w:w="456"/>
        <w:gridCol w:w="456"/>
        <w:gridCol w:w="951"/>
        <w:gridCol w:w="896"/>
      </w:tblGrid>
      <w:tr>
        <w:tblPrEx>
          <w:tblCellMar>
            <w:top w:w="0" w:type="dxa"/>
            <w:left w:w="108" w:type="dxa"/>
            <w:bottom w:w="0" w:type="dxa"/>
            <w:right w:w="108" w:type="dxa"/>
          </w:tblCellMar>
        </w:tblPrEx>
        <w:trPr>
          <w:trHeight w:val="690" w:hRule="atLeast"/>
          <w:jc w:val="center"/>
        </w:trPr>
        <w:tc>
          <w:tcPr>
            <w:tcW w:w="10672" w:type="dxa"/>
            <w:gridSpan w:val="14"/>
            <w:tcBorders>
              <w:top w:val="nil"/>
              <w:left w:val="nil"/>
              <w:bottom w:val="single" w:color="auto" w:sz="4" w:space="0"/>
              <w:right w:val="nil"/>
            </w:tcBorders>
            <w:shd w:val="clear" w:color="auto" w:fill="auto"/>
            <w:noWrap/>
            <w:vAlign w:val="center"/>
          </w:tcPr>
          <w:p>
            <w:pPr>
              <w:widowControl/>
              <w:topLinePunct w:val="0"/>
              <w:snapToGrid/>
              <w:spacing w:line="240" w:lineRule="auto"/>
              <w:ind w:firstLine="0" w:firstLineChars="0"/>
              <w:jc w:val="center"/>
              <w:rPr>
                <w:rFonts w:hint="eastAsia" w:ascii="黑体" w:hAnsi="黑体" w:eastAsia="黑体" w:cs="黑体"/>
                <w:b w:val="0"/>
                <w:bCs w:val="0"/>
                <w:snapToGrid/>
                <w:color w:val="auto"/>
                <w:kern w:val="0"/>
                <w:sz w:val="24"/>
                <w:szCs w:val="24"/>
              </w:rPr>
            </w:pPr>
            <w:r>
              <w:rPr>
                <w:rFonts w:hint="eastAsia" w:ascii="黑体" w:hAnsi="黑体" w:eastAsia="黑体" w:cs="黑体"/>
                <w:b w:val="0"/>
                <w:bCs w:val="0"/>
                <w:snapToGrid/>
                <w:color w:val="auto"/>
                <w:kern w:val="0"/>
                <w:sz w:val="24"/>
                <w:szCs w:val="24"/>
              </w:rPr>
              <w:t>数字影像技术</w:t>
            </w:r>
            <w:r>
              <w:rPr>
                <w:rFonts w:hint="eastAsia" w:ascii="黑体" w:hAnsi="黑体" w:eastAsia="黑体" w:cs="黑体"/>
                <w:b w:val="0"/>
                <w:bCs w:val="0"/>
                <w:snapToGrid/>
                <w:color w:val="auto"/>
                <w:kern w:val="0"/>
                <w:sz w:val="24"/>
                <w:szCs w:val="24"/>
                <w:lang w:eastAsia="zh-CN"/>
              </w:rPr>
              <w:t>（新媒体运营与短视频方向）</w:t>
            </w:r>
            <w:r>
              <w:rPr>
                <w:rFonts w:hint="eastAsia" w:ascii="黑体" w:hAnsi="黑体" w:eastAsia="黑体" w:cs="黑体"/>
                <w:b w:val="0"/>
                <w:bCs w:val="0"/>
                <w:snapToGrid/>
                <w:color w:val="auto"/>
                <w:kern w:val="0"/>
                <w:sz w:val="24"/>
                <w:szCs w:val="24"/>
              </w:rPr>
              <w:t>教学进程计划</w:t>
            </w:r>
          </w:p>
        </w:tc>
      </w:tr>
      <w:tr>
        <w:tblPrEx>
          <w:tblCellMar>
            <w:top w:w="0" w:type="dxa"/>
            <w:left w:w="108" w:type="dxa"/>
            <w:bottom w:w="0" w:type="dxa"/>
            <w:right w:w="108" w:type="dxa"/>
          </w:tblCellMar>
        </w:tblPrEx>
        <w:trPr>
          <w:trHeight w:val="420" w:hRule="atLeast"/>
          <w:jc w:val="center"/>
        </w:trPr>
        <w:tc>
          <w:tcPr>
            <w:tcW w:w="1131" w:type="dxa"/>
            <w:gridSpan w:val="2"/>
            <w:tcBorders>
              <w:top w:val="nil"/>
              <w:left w:val="single" w:color="auto" w:sz="4" w:space="0"/>
              <w:bottom w:val="single" w:color="auto" w:sz="4" w:space="0"/>
              <w:right w:val="single" w:color="000000"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专业：</w:t>
            </w:r>
          </w:p>
        </w:tc>
        <w:tc>
          <w:tcPr>
            <w:tcW w:w="288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rPr>
              <w:t>数字影像技术</w:t>
            </w:r>
            <w:r>
              <w:rPr>
                <w:rFonts w:hint="eastAsia" w:ascii="宋体" w:hAnsi="宋体" w:eastAsia="宋体" w:cs="宋体"/>
                <w:snapToGrid/>
                <w:color w:val="auto"/>
                <w:kern w:val="0"/>
                <w:sz w:val="21"/>
                <w:szCs w:val="21"/>
                <w:lang w:eastAsia="zh-CN"/>
              </w:rPr>
              <w:t>（</w:t>
            </w:r>
            <w:r>
              <w:rPr>
                <w:rFonts w:hint="eastAsia" w:ascii="宋体" w:hAnsi="宋体" w:eastAsia="宋体" w:cs="宋体"/>
                <w:snapToGrid/>
                <w:color w:val="auto"/>
                <w:kern w:val="0"/>
                <w:sz w:val="21"/>
                <w:szCs w:val="21"/>
                <w:lang w:val="en-US" w:eastAsia="zh-CN"/>
              </w:rPr>
              <w:t>新媒体运营与短视频方向）</w:t>
            </w:r>
          </w:p>
        </w:tc>
        <w:tc>
          <w:tcPr>
            <w:tcW w:w="2076" w:type="dxa"/>
            <w:gridSpan w:val="3"/>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学制：三年</w:t>
            </w:r>
          </w:p>
        </w:tc>
        <w:tc>
          <w:tcPr>
            <w:tcW w:w="4583" w:type="dxa"/>
            <w:gridSpan w:val="8"/>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起点：初中</w:t>
            </w:r>
          </w:p>
        </w:tc>
      </w:tr>
      <w:tr>
        <w:tblPrEx>
          <w:tblCellMar>
            <w:top w:w="0" w:type="dxa"/>
            <w:left w:w="108" w:type="dxa"/>
            <w:bottom w:w="0" w:type="dxa"/>
            <w:right w:w="108" w:type="dxa"/>
          </w:tblCellMar>
        </w:tblPrEx>
        <w:trPr>
          <w:trHeight w:val="420" w:hRule="atLeast"/>
          <w:jc w:val="center"/>
        </w:trPr>
        <w:tc>
          <w:tcPr>
            <w:tcW w:w="62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课程模块</w:t>
            </w:r>
          </w:p>
        </w:tc>
        <w:tc>
          <w:tcPr>
            <w:tcW w:w="503"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序 号</w:t>
            </w:r>
          </w:p>
        </w:tc>
        <w:tc>
          <w:tcPr>
            <w:tcW w:w="288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课程名称</w:t>
            </w:r>
          </w:p>
        </w:tc>
        <w:tc>
          <w:tcPr>
            <w:tcW w:w="71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总学时</w:t>
            </w:r>
          </w:p>
        </w:tc>
        <w:tc>
          <w:tcPr>
            <w:tcW w:w="1361" w:type="dxa"/>
            <w:gridSpan w:val="2"/>
            <w:tcBorders>
              <w:top w:val="single" w:color="auto" w:sz="4" w:space="0"/>
              <w:left w:val="nil"/>
              <w:bottom w:val="nil"/>
              <w:right w:val="nil"/>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学时分配</w:t>
            </w:r>
          </w:p>
        </w:tc>
        <w:tc>
          <w:tcPr>
            <w:tcW w:w="273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各学期学时分配（周学时）</w:t>
            </w:r>
          </w:p>
        </w:tc>
        <w:tc>
          <w:tcPr>
            <w:tcW w:w="95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备注</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考试</w:t>
            </w:r>
            <w:r>
              <w:rPr>
                <w:rFonts w:hint="eastAsia" w:ascii="宋体" w:hAnsi="宋体" w:eastAsia="宋体" w:cs="宋体"/>
                <w:snapToGrid/>
                <w:color w:val="auto"/>
                <w:kern w:val="0"/>
                <w:sz w:val="21"/>
                <w:szCs w:val="21"/>
              </w:rPr>
              <w:br w:type="textWrapping"/>
            </w:r>
            <w:r>
              <w:rPr>
                <w:rFonts w:hint="eastAsia" w:ascii="宋体" w:hAnsi="宋体" w:eastAsia="宋体" w:cs="宋体"/>
                <w:snapToGrid/>
                <w:color w:val="auto"/>
                <w:kern w:val="0"/>
                <w:sz w:val="21"/>
                <w:szCs w:val="21"/>
              </w:rPr>
              <w:t>学期</w:t>
            </w:r>
          </w:p>
        </w:tc>
      </w:tr>
      <w:tr>
        <w:tblPrEx>
          <w:tblCellMar>
            <w:top w:w="0" w:type="dxa"/>
            <w:left w:w="108" w:type="dxa"/>
            <w:bottom w:w="0" w:type="dxa"/>
            <w:right w:w="108" w:type="dxa"/>
          </w:tblCellMar>
        </w:tblPrEx>
        <w:trPr>
          <w:trHeight w:val="420"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2882"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715"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6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理</w:t>
            </w:r>
            <w:r>
              <w:rPr>
                <w:rFonts w:hint="eastAsia" w:ascii="宋体" w:hAnsi="宋体" w:eastAsia="宋体" w:cs="宋体"/>
                <w:snapToGrid/>
                <w:color w:val="auto"/>
                <w:kern w:val="0"/>
                <w:sz w:val="21"/>
                <w:szCs w:val="21"/>
              </w:rPr>
              <w:br w:type="textWrapping"/>
            </w:r>
            <w:r>
              <w:rPr>
                <w:rFonts w:hint="eastAsia" w:ascii="宋体" w:hAnsi="宋体" w:eastAsia="宋体" w:cs="宋体"/>
                <w:snapToGrid/>
                <w:color w:val="auto"/>
                <w:kern w:val="0"/>
                <w:sz w:val="21"/>
                <w:szCs w:val="21"/>
              </w:rPr>
              <w:t>论</w:t>
            </w:r>
          </w:p>
        </w:tc>
        <w:tc>
          <w:tcPr>
            <w:tcW w:w="66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实</w:t>
            </w:r>
            <w:r>
              <w:rPr>
                <w:rFonts w:hint="eastAsia" w:ascii="宋体" w:hAnsi="宋体" w:eastAsia="宋体" w:cs="宋体"/>
                <w:snapToGrid/>
                <w:color w:val="auto"/>
                <w:kern w:val="0"/>
                <w:sz w:val="21"/>
                <w:szCs w:val="21"/>
              </w:rPr>
              <w:br w:type="textWrapping"/>
            </w:r>
            <w:r>
              <w:rPr>
                <w:rFonts w:hint="eastAsia" w:ascii="宋体" w:hAnsi="宋体" w:eastAsia="宋体" w:cs="宋体"/>
                <w:snapToGrid/>
                <w:color w:val="auto"/>
                <w:kern w:val="0"/>
                <w:sz w:val="21"/>
                <w:szCs w:val="21"/>
              </w:rPr>
              <w:t>践</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一</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二</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三</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四</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五</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六</w:t>
            </w:r>
          </w:p>
        </w:tc>
        <w:tc>
          <w:tcPr>
            <w:tcW w:w="951"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89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r>
      <w:tr>
        <w:tblPrEx>
          <w:tblCellMar>
            <w:top w:w="0" w:type="dxa"/>
            <w:left w:w="108" w:type="dxa"/>
            <w:bottom w:w="0" w:type="dxa"/>
            <w:right w:w="108" w:type="dxa"/>
          </w:tblCellMar>
        </w:tblPrEx>
        <w:trPr>
          <w:trHeight w:val="420"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2882"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715"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696"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665"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20</w:t>
            </w:r>
          </w:p>
        </w:tc>
        <w:tc>
          <w:tcPr>
            <w:tcW w:w="951"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896"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r>
      <w:tr>
        <w:tblPrEx>
          <w:tblCellMar>
            <w:top w:w="0" w:type="dxa"/>
            <w:left w:w="108" w:type="dxa"/>
            <w:bottom w:w="0" w:type="dxa"/>
            <w:right w:w="108" w:type="dxa"/>
          </w:tblCellMar>
        </w:tblPrEx>
        <w:trPr>
          <w:trHeight w:val="402" w:hRule="atLeast"/>
          <w:jc w:val="center"/>
        </w:trPr>
        <w:tc>
          <w:tcPr>
            <w:tcW w:w="62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公共基础课</w:t>
            </w: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1</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国防教育</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120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120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912"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顶岗实习</w:t>
            </w: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军训</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劳动教育</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42</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劳动周</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3</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（思政）中国特色社会主义</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40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40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考查</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4</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（思政）心理健康与职业生涯</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40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40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考查</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5</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（思政）哲学与人生</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40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40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考查</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6</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（思政）职业道德与法治</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40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40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考查</w:t>
            </w:r>
          </w:p>
        </w:tc>
      </w:tr>
      <w:tr>
        <w:tblPrEx>
          <w:tblCellMar>
            <w:top w:w="0" w:type="dxa"/>
            <w:left w:w="108" w:type="dxa"/>
            <w:bottom w:w="0" w:type="dxa"/>
            <w:right w:w="108" w:type="dxa"/>
          </w:tblCellMar>
        </w:tblPrEx>
        <w:trPr>
          <w:trHeight w:val="90"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7</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语文</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320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320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1-4</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8</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数学</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80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80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cs="宋体"/>
                <w:snapToGrid/>
                <w:color w:val="auto"/>
                <w:kern w:val="0"/>
                <w:sz w:val="21"/>
                <w:szCs w:val="21"/>
                <w:lang w:val="en-US" w:eastAsia="zh-CN"/>
              </w:rPr>
              <w:t>2</w:t>
            </w: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1-2</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9</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英语</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80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80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1-2</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10</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历史</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考查</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11</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体育与健康</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80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80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1</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1-4</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12</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信息技术</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160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80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80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4</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4</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1-2</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13</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应用文写作</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2</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考查</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rPr>
              <w:t>1</w:t>
            </w:r>
            <w:r>
              <w:rPr>
                <w:rFonts w:hint="eastAsia" w:ascii="宋体" w:hAnsi="宋体" w:cs="宋体"/>
                <w:snapToGrid/>
                <w:color w:val="auto"/>
                <w:kern w:val="0"/>
                <w:sz w:val="21"/>
                <w:szCs w:val="21"/>
                <w:lang w:val="en-US" w:eastAsia="zh-CN"/>
              </w:rPr>
              <w:t>4</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rPr>
              <w:t>书法</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rPr>
              <w:t>40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lang w:val="en-US" w:eastAsia="zh-CN"/>
              </w:rPr>
              <w:t>20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lang w:val="en-US" w:eastAsia="zh-CN"/>
              </w:rPr>
              <w:t>20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rPr>
              <w:t>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rPr>
              <w:t>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rPr>
              <w:t>　</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val="en-US" w:eastAsia="zh-CN" w:bidi="ar-SA"/>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bidi="ar-SA"/>
              </w:rPr>
            </w:pPr>
            <w:r>
              <w:rPr>
                <w:rFonts w:hint="eastAsia" w:ascii="宋体" w:hAnsi="宋体" w:eastAsia="宋体" w:cs="宋体"/>
                <w:snapToGrid/>
                <w:color w:val="auto"/>
                <w:kern w:val="0"/>
                <w:sz w:val="21"/>
                <w:szCs w:val="21"/>
              </w:rPr>
              <w:t>考查</w:t>
            </w:r>
          </w:p>
        </w:tc>
      </w:tr>
      <w:tr>
        <w:tblPrEx>
          <w:tblCellMar>
            <w:top w:w="0" w:type="dxa"/>
            <w:left w:w="108" w:type="dxa"/>
            <w:bottom w:w="0" w:type="dxa"/>
            <w:right w:w="108" w:type="dxa"/>
          </w:tblCellMar>
        </w:tblPrEx>
        <w:trPr>
          <w:trHeight w:val="402" w:hRule="atLeast"/>
          <w:jc w:val="center"/>
        </w:trPr>
        <w:tc>
          <w:tcPr>
            <w:tcW w:w="628" w:type="dxa"/>
            <w:vMerge w:val="continue"/>
            <w:tcBorders>
              <w:top w:val="nil"/>
              <w:left w:val="single" w:color="auto" w:sz="4" w:space="0"/>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15</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礼仪</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考查</w:t>
            </w:r>
          </w:p>
        </w:tc>
      </w:tr>
      <w:tr>
        <w:tblPrEx>
          <w:tblCellMar>
            <w:top w:w="0" w:type="dxa"/>
            <w:left w:w="108" w:type="dxa"/>
            <w:bottom w:w="0" w:type="dxa"/>
            <w:right w:w="108" w:type="dxa"/>
          </w:tblCellMar>
        </w:tblPrEx>
        <w:trPr>
          <w:trHeight w:val="462" w:hRule="atLeast"/>
          <w:jc w:val="center"/>
        </w:trPr>
        <w:tc>
          <w:tcPr>
            <w:tcW w:w="628" w:type="dxa"/>
            <w:vMerge w:val="restart"/>
            <w:tcBorders>
              <w:top w:val="nil"/>
              <w:left w:val="single" w:color="auto" w:sz="4" w:space="0"/>
              <w:bottom w:val="single" w:color="000000"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专业基础课</w:t>
            </w: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rPr>
              <w:t>1</w:t>
            </w:r>
            <w:r>
              <w:rPr>
                <w:rFonts w:hint="eastAsia" w:ascii="宋体" w:hAnsi="宋体" w:eastAsia="宋体" w:cs="宋体"/>
                <w:snapToGrid/>
                <w:color w:val="auto"/>
                <w:kern w:val="0"/>
                <w:sz w:val="21"/>
                <w:szCs w:val="21"/>
                <w:lang w:val="en-US" w:eastAsia="zh-CN"/>
              </w:rPr>
              <w:t>6</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绘画基础</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160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lang w:val="en-US" w:eastAsia="zh-CN"/>
              </w:rPr>
              <w:t>80</w:t>
            </w:r>
            <w:r>
              <w:rPr>
                <w:rFonts w:hint="eastAsia" w:ascii="宋体" w:hAnsi="宋体" w:eastAsia="宋体" w:cs="宋体"/>
                <w:snapToGrid/>
                <w:color w:val="auto"/>
                <w:kern w:val="0"/>
                <w:sz w:val="21"/>
                <w:szCs w:val="21"/>
              </w:rPr>
              <w:t>　</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80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2</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1-4</w:t>
            </w:r>
          </w:p>
        </w:tc>
      </w:tr>
      <w:tr>
        <w:tblPrEx>
          <w:tblCellMar>
            <w:top w:w="0" w:type="dxa"/>
            <w:left w:w="108" w:type="dxa"/>
            <w:bottom w:w="0" w:type="dxa"/>
            <w:right w:w="108" w:type="dxa"/>
          </w:tblCellMar>
        </w:tblPrEx>
        <w:trPr>
          <w:trHeight w:val="462" w:hRule="atLeast"/>
          <w:jc w:val="center"/>
        </w:trPr>
        <w:tc>
          <w:tcPr>
            <w:tcW w:w="628"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rPr>
              <w:t>1</w:t>
            </w:r>
            <w:r>
              <w:rPr>
                <w:rFonts w:hint="eastAsia" w:ascii="宋体" w:hAnsi="宋体" w:eastAsia="宋体" w:cs="宋体"/>
                <w:snapToGrid/>
                <w:color w:val="auto"/>
                <w:kern w:val="0"/>
                <w:sz w:val="21"/>
                <w:szCs w:val="21"/>
                <w:lang w:val="en-US" w:eastAsia="zh-CN"/>
              </w:rPr>
              <w:t>7</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构成基础</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60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考查</w:t>
            </w:r>
          </w:p>
        </w:tc>
      </w:tr>
      <w:tr>
        <w:tblPrEx>
          <w:tblCellMar>
            <w:top w:w="0" w:type="dxa"/>
            <w:left w:w="108" w:type="dxa"/>
            <w:bottom w:w="0" w:type="dxa"/>
            <w:right w:w="108" w:type="dxa"/>
          </w:tblCellMar>
        </w:tblPrEx>
        <w:trPr>
          <w:trHeight w:val="462" w:hRule="atLeast"/>
          <w:jc w:val="center"/>
        </w:trPr>
        <w:tc>
          <w:tcPr>
            <w:tcW w:w="628"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rPr>
              <w:t>1</w:t>
            </w:r>
            <w:r>
              <w:rPr>
                <w:rFonts w:hint="eastAsia" w:ascii="宋体" w:hAnsi="宋体" w:eastAsia="宋体" w:cs="宋体"/>
                <w:snapToGrid/>
                <w:color w:val="auto"/>
                <w:kern w:val="0"/>
                <w:sz w:val="21"/>
                <w:szCs w:val="21"/>
                <w:lang w:val="en-US" w:eastAsia="zh-CN"/>
              </w:rPr>
              <w:t>8</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设计基础</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考查</w:t>
            </w:r>
          </w:p>
        </w:tc>
      </w:tr>
      <w:tr>
        <w:tblPrEx>
          <w:tblCellMar>
            <w:top w:w="0" w:type="dxa"/>
            <w:left w:w="108" w:type="dxa"/>
            <w:bottom w:w="0" w:type="dxa"/>
            <w:right w:w="108" w:type="dxa"/>
          </w:tblCellMar>
        </w:tblPrEx>
        <w:trPr>
          <w:trHeight w:val="462" w:hRule="atLeast"/>
          <w:jc w:val="center"/>
        </w:trPr>
        <w:tc>
          <w:tcPr>
            <w:tcW w:w="628"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19</w:t>
            </w:r>
          </w:p>
        </w:tc>
        <w:tc>
          <w:tcPr>
            <w:tcW w:w="2882"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图形图像基础</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200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cs="宋体"/>
                <w:snapToGrid/>
                <w:color w:val="auto"/>
                <w:kern w:val="0"/>
                <w:sz w:val="21"/>
                <w:szCs w:val="21"/>
                <w:lang w:val="en-US" w:eastAsia="zh-CN"/>
              </w:rPr>
              <w:t>10</w:t>
            </w:r>
            <w:r>
              <w:rPr>
                <w:rFonts w:hint="eastAsia" w:ascii="宋体" w:hAnsi="宋体" w:eastAsia="宋体" w:cs="宋体"/>
                <w:snapToGrid/>
                <w:color w:val="auto"/>
                <w:kern w:val="0"/>
                <w:sz w:val="21"/>
                <w:szCs w:val="21"/>
                <w:lang w:val="en-US" w:eastAsia="zh-CN"/>
              </w:rPr>
              <w:t>0</w:t>
            </w:r>
            <w:r>
              <w:rPr>
                <w:rFonts w:hint="eastAsia" w:ascii="宋体" w:hAnsi="宋体" w:eastAsia="宋体" w:cs="宋体"/>
                <w:snapToGrid/>
                <w:color w:val="auto"/>
                <w:kern w:val="0"/>
                <w:sz w:val="21"/>
                <w:szCs w:val="21"/>
              </w:rPr>
              <w:t>　</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100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cs="宋体"/>
                <w:snapToGrid/>
                <w:color w:val="auto"/>
                <w:kern w:val="0"/>
                <w:sz w:val="21"/>
                <w:szCs w:val="21"/>
                <w:lang w:val="en-US" w:eastAsia="zh-CN"/>
              </w:rPr>
              <w:t>2</w:t>
            </w: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4</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2</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1-4</w:t>
            </w:r>
          </w:p>
        </w:tc>
      </w:tr>
      <w:tr>
        <w:tblPrEx>
          <w:tblCellMar>
            <w:top w:w="0" w:type="dxa"/>
            <w:left w:w="108" w:type="dxa"/>
            <w:bottom w:w="0" w:type="dxa"/>
            <w:right w:w="108" w:type="dxa"/>
          </w:tblCellMar>
        </w:tblPrEx>
        <w:trPr>
          <w:trHeight w:val="462" w:hRule="atLeast"/>
          <w:jc w:val="center"/>
        </w:trPr>
        <w:tc>
          <w:tcPr>
            <w:tcW w:w="628"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核心专业课</w:t>
            </w: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rPr>
              <w:t>2</w:t>
            </w:r>
            <w:r>
              <w:rPr>
                <w:rFonts w:hint="eastAsia" w:ascii="宋体" w:hAnsi="宋体" w:eastAsia="宋体" w:cs="宋体"/>
                <w:snapToGrid/>
                <w:color w:val="auto"/>
                <w:kern w:val="0"/>
                <w:sz w:val="21"/>
                <w:szCs w:val="21"/>
                <w:lang w:val="en-US" w:eastAsia="zh-CN"/>
              </w:rPr>
              <w:t>0</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摄影摄像技术</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280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140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140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4</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4</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4</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考查</w:t>
            </w:r>
          </w:p>
        </w:tc>
      </w:tr>
      <w:tr>
        <w:tblPrEx>
          <w:tblCellMar>
            <w:top w:w="0" w:type="dxa"/>
            <w:left w:w="108" w:type="dxa"/>
            <w:bottom w:w="0" w:type="dxa"/>
            <w:right w:w="108" w:type="dxa"/>
          </w:tblCellMar>
        </w:tblPrEx>
        <w:trPr>
          <w:trHeight w:val="462" w:hRule="atLeast"/>
          <w:jc w:val="center"/>
        </w:trPr>
        <w:tc>
          <w:tcPr>
            <w:tcW w:w="628"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rPr>
              <w:t>2</w:t>
            </w:r>
            <w:r>
              <w:rPr>
                <w:rFonts w:hint="eastAsia" w:ascii="宋体" w:hAnsi="宋体" w:eastAsia="宋体" w:cs="宋体"/>
                <w:snapToGrid/>
                <w:color w:val="auto"/>
                <w:kern w:val="0"/>
                <w:sz w:val="21"/>
                <w:szCs w:val="21"/>
                <w:lang w:val="en-US" w:eastAsia="zh-CN"/>
              </w:rPr>
              <w:t>1</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影视剪辑技术</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340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170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170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cs="宋体"/>
                <w:snapToGrid/>
                <w:color w:val="auto"/>
                <w:kern w:val="0"/>
                <w:sz w:val="21"/>
                <w:szCs w:val="21"/>
                <w:lang w:val="en-US" w:eastAsia="zh-CN"/>
              </w:rPr>
              <w:t>3</w:t>
            </w: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cs="宋体"/>
                <w:snapToGrid/>
                <w:color w:val="auto"/>
                <w:kern w:val="0"/>
                <w:sz w:val="21"/>
                <w:szCs w:val="21"/>
                <w:lang w:val="en-US" w:eastAsia="zh-CN"/>
              </w:rPr>
              <w:t>2</w:t>
            </w: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6</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6</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1-4</w:t>
            </w:r>
          </w:p>
        </w:tc>
      </w:tr>
      <w:tr>
        <w:tblPrEx>
          <w:tblCellMar>
            <w:top w:w="0" w:type="dxa"/>
            <w:left w:w="108" w:type="dxa"/>
            <w:bottom w:w="0" w:type="dxa"/>
            <w:right w:w="108" w:type="dxa"/>
          </w:tblCellMar>
        </w:tblPrEx>
        <w:trPr>
          <w:trHeight w:val="462" w:hRule="atLeast"/>
          <w:jc w:val="center"/>
        </w:trPr>
        <w:tc>
          <w:tcPr>
            <w:tcW w:w="628"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rPr>
              <w:t>2</w:t>
            </w:r>
            <w:r>
              <w:rPr>
                <w:rFonts w:hint="eastAsia" w:ascii="宋体" w:hAnsi="宋体" w:eastAsia="宋体" w:cs="宋体"/>
                <w:snapToGrid/>
                <w:color w:val="auto"/>
                <w:kern w:val="0"/>
                <w:sz w:val="21"/>
                <w:szCs w:val="21"/>
                <w:lang w:val="en-US" w:eastAsia="zh-CN"/>
              </w:rPr>
              <w:t>2</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影视特效</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200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100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100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4</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4</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考查</w:t>
            </w:r>
          </w:p>
        </w:tc>
      </w:tr>
      <w:tr>
        <w:tblPrEx>
          <w:tblCellMar>
            <w:top w:w="0" w:type="dxa"/>
            <w:left w:w="108" w:type="dxa"/>
            <w:bottom w:w="0" w:type="dxa"/>
            <w:right w:w="108" w:type="dxa"/>
          </w:tblCellMar>
        </w:tblPrEx>
        <w:trPr>
          <w:trHeight w:val="462" w:hRule="atLeast"/>
          <w:jc w:val="center"/>
        </w:trPr>
        <w:tc>
          <w:tcPr>
            <w:tcW w:w="628"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rPr>
              <w:t>2</w:t>
            </w:r>
            <w:r>
              <w:rPr>
                <w:rFonts w:hint="eastAsia" w:ascii="宋体" w:hAnsi="宋体" w:eastAsia="宋体" w:cs="宋体"/>
                <w:snapToGrid/>
                <w:color w:val="auto"/>
                <w:kern w:val="0"/>
                <w:sz w:val="21"/>
                <w:szCs w:val="21"/>
                <w:lang w:val="en-US" w:eastAsia="zh-CN"/>
              </w:rPr>
              <w:t>3</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视觉制作技术</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80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考查</w:t>
            </w:r>
          </w:p>
        </w:tc>
      </w:tr>
      <w:tr>
        <w:tblPrEx>
          <w:tblCellMar>
            <w:top w:w="0" w:type="dxa"/>
            <w:left w:w="108" w:type="dxa"/>
            <w:bottom w:w="0" w:type="dxa"/>
            <w:right w:w="108" w:type="dxa"/>
          </w:tblCellMar>
        </w:tblPrEx>
        <w:trPr>
          <w:trHeight w:val="462" w:hRule="atLeast"/>
          <w:jc w:val="center"/>
        </w:trPr>
        <w:tc>
          <w:tcPr>
            <w:tcW w:w="628" w:type="dxa"/>
            <w:vMerge w:val="continue"/>
            <w:tcBorders>
              <w:top w:val="nil"/>
              <w:left w:val="single" w:color="auto" w:sz="4" w:space="0"/>
              <w:bottom w:val="single" w:color="000000"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503"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rPr>
              <w:t>2</w:t>
            </w:r>
            <w:r>
              <w:rPr>
                <w:rFonts w:hint="eastAsia" w:ascii="宋体" w:hAnsi="宋体" w:eastAsia="宋体" w:cs="宋体"/>
                <w:snapToGrid/>
                <w:color w:val="auto"/>
                <w:kern w:val="0"/>
                <w:sz w:val="21"/>
                <w:szCs w:val="21"/>
                <w:lang w:val="en-US" w:eastAsia="zh-CN"/>
              </w:rPr>
              <w:t>4</w:t>
            </w:r>
          </w:p>
        </w:tc>
        <w:tc>
          <w:tcPr>
            <w:tcW w:w="2882" w:type="dxa"/>
            <w:tcBorders>
              <w:top w:val="nil"/>
              <w:left w:val="nil"/>
              <w:bottom w:val="single" w:color="auto" w:sz="4" w:space="0"/>
              <w:right w:val="single" w:color="auto" w:sz="4" w:space="0"/>
            </w:tcBorders>
            <w:shd w:val="clear" w:color="auto" w:fill="auto"/>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全媒体影像技术</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80</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lang w:eastAsia="zh-CN"/>
              </w:rPr>
            </w:pPr>
            <w:r>
              <w:rPr>
                <w:rFonts w:hint="eastAsia" w:ascii="宋体" w:hAnsi="宋体" w:cs="宋体"/>
                <w:snapToGrid/>
                <w:color w:val="auto"/>
                <w:kern w:val="0"/>
                <w:sz w:val="21"/>
                <w:szCs w:val="21"/>
                <w:lang w:val="en-US" w:eastAsia="zh-CN"/>
              </w:rPr>
              <w:t>2</w:t>
            </w:r>
          </w:p>
        </w:tc>
        <w:tc>
          <w:tcPr>
            <w:tcW w:w="912" w:type="dxa"/>
            <w:gridSpan w:val="2"/>
            <w:vMerge w:val="continue"/>
            <w:tcBorders>
              <w:top w:val="nil"/>
              <w:left w:val="nil"/>
              <w:bottom w:val="single" w:color="auto" w:sz="4" w:space="0"/>
              <w:right w:val="single" w:color="auto" w:sz="4" w:space="0"/>
            </w:tcBorders>
            <w:vAlign w:val="center"/>
          </w:tcPr>
          <w:p>
            <w:pPr>
              <w:widowControl/>
              <w:topLinePunct w:val="0"/>
              <w:snapToGrid/>
              <w:spacing w:line="240" w:lineRule="auto"/>
              <w:ind w:firstLine="0" w:firstLineChars="0"/>
              <w:rPr>
                <w:rFonts w:hint="eastAsia" w:ascii="宋体" w:hAnsi="宋体" w:eastAsia="宋体" w:cs="宋体"/>
                <w:snapToGrid/>
                <w:color w:val="auto"/>
                <w:kern w:val="0"/>
                <w:sz w:val="21"/>
                <w:szCs w:val="21"/>
              </w:rPr>
            </w:pPr>
          </w:p>
        </w:tc>
        <w:tc>
          <w:tcPr>
            <w:tcW w:w="951"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必修</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考查</w:t>
            </w:r>
          </w:p>
        </w:tc>
      </w:tr>
      <w:tr>
        <w:tblPrEx>
          <w:tblCellMar>
            <w:top w:w="0" w:type="dxa"/>
            <w:left w:w="108" w:type="dxa"/>
            <w:bottom w:w="0" w:type="dxa"/>
            <w:right w:w="108" w:type="dxa"/>
          </w:tblCellMar>
        </w:tblPrEx>
        <w:trPr>
          <w:trHeight w:val="462" w:hRule="atLeast"/>
          <w:jc w:val="center"/>
        </w:trPr>
        <w:tc>
          <w:tcPr>
            <w:tcW w:w="401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总   学  时</w:t>
            </w:r>
          </w:p>
        </w:tc>
        <w:tc>
          <w:tcPr>
            <w:tcW w:w="71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2642</w:t>
            </w:r>
          </w:p>
        </w:tc>
        <w:tc>
          <w:tcPr>
            <w:tcW w:w="6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1570</w:t>
            </w:r>
          </w:p>
        </w:tc>
        <w:tc>
          <w:tcPr>
            <w:tcW w:w="665"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1072</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31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31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31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31</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default" w:ascii="宋体" w:hAnsi="宋体" w:eastAsia="宋体" w:cs="宋体"/>
                <w:snapToGrid/>
                <w:color w:val="auto"/>
                <w:kern w:val="0"/>
                <w:sz w:val="21"/>
                <w:szCs w:val="21"/>
                <w:lang w:val="en-US" w:eastAsia="zh-CN"/>
              </w:rPr>
            </w:pPr>
            <w:r>
              <w:rPr>
                <w:rFonts w:hint="eastAsia" w:ascii="宋体" w:hAnsi="宋体" w:cs="宋体"/>
                <w:snapToGrid/>
                <w:color w:val="auto"/>
                <w:kern w:val="0"/>
                <w:sz w:val="21"/>
                <w:szCs w:val="21"/>
                <w:lang w:val="en-US" w:eastAsia="zh-CN"/>
              </w:rPr>
              <w:t>40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cs="宋体"/>
                <w:snapToGrid/>
                <w:color w:val="auto"/>
                <w:kern w:val="0"/>
                <w:sz w:val="21"/>
                <w:szCs w:val="21"/>
                <w:lang w:val="en-US" w:eastAsia="zh-CN"/>
              </w:rPr>
              <w:t>4</w:t>
            </w:r>
            <w:r>
              <w:rPr>
                <w:rFonts w:hint="eastAsia" w:ascii="宋体" w:hAnsi="宋体" w:eastAsia="宋体" w:cs="宋体"/>
                <w:snapToGrid/>
                <w:color w:val="auto"/>
                <w:kern w:val="0"/>
                <w:sz w:val="21"/>
                <w:szCs w:val="21"/>
              </w:rPr>
              <w:t>0</w:t>
            </w:r>
          </w:p>
        </w:tc>
        <w:tc>
          <w:tcPr>
            <w:tcW w:w="951"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c>
          <w:tcPr>
            <w:tcW w:w="896" w:type="dxa"/>
            <w:tcBorders>
              <w:top w:val="nil"/>
              <w:left w:val="nil"/>
              <w:bottom w:val="single" w:color="auto" w:sz="4" w:space="0"/>
              <w:right w:val="single" w:color="auto" w:sz="4" w:space="0"/>
            </w:tcBorders>
            <w:shd w:val="clear" w:color="auto" w:fill="auto"/>
            <w:noWrap/>
            <w:vAlign w:val="center"/>
          </w:tcPr>
          <w:p>
            <w:pPr>
              <w:widowControl/>
              <w:topLinePunct w:val="0"/>
              <w:snapToGrid/>
              <w:spacing w:line="240" w:lineRule="auto"/>
              <w:ind w:firstLine="0" w:firstLineChars="0"/>
              <w:jc w:val="center"/>
              <w:rPr>
                <w:rFonts w:hint="eastAsia" w:ascii="宋体" w:hAnsi="宋体" w:eastAsia="宋体" w:cs="宋体"/>
                <w:snapToGrid/>
                <w:color w:val="auto"/>
                <w:kern w:val="0"/>
                <w:sz w:val="21"/>
                <w:szCs w:val="21"/>
              </w:rPr>
            </w:pPr>
            <w:r>
              <w:rPr>
                <w:rFonts w:hint="eastAsia" w:ascii="宋体" w:hAnsi="宋体" w:eastAsia="宋体" w:cs="宋体"/>
                <w:snapToGrid/>
                <w:color w:val="auto"/>
                <w:kern w:val="0"/>
                <w:sz w:val="21"/>
                <w:szCs w:val="21"/>
              </w:rPr>
              <w:t>　</w:t>
            </w:r>
          </w:p>
        </w:tc>
      </w:tr>
    </w:tbl>
    <w:p>
      <w:pPr>
        <w:pStyle w:val="101"/>
        <w:snapToGrid/>
        <w:spacing w:before="0" w:beforeLines="0" w:after="0" w:afterLines="0" w:line="480" w:lineRule="exact"/>
        <w:ind w:firstLine="560" w:firstLineChars="200"/>
        <w:jc w:val="both"/>
        <w:rPr>
          <w:rFonts w:hint="eastAsia" w:eastAsia="黑体"/>
        </w:rPr>
      </w:pPr>
    </w:p>
    <w:p>
      <w:pPr>
        <w:overflowPunct w:val="0"/>
        <w:ind w:firstLine="600" w:firstLineChars="200"/>
        <w:rPr>
          <w:rFonts w:hint="eastAsia" w:eastAsia="黑体"/>
          <w:sz w:val="30"/>
          <w:szCs w:val="30"/>
        </w:rPr>
      </w:pPr>
      <w:r>
        <w:rPr>
          <w:rFonts w:hint="eastAsia" w:ascii="黑体" w:hAnsi="黑体" w:eastAsia="黑体"/>
          <w:sz w:val="30"/>
          <w:szCs w:val="30"/>
        </w:rPr>
        <w:t>八、实施保障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（一）师资队伍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1．专业教师应具备良好的师德和终身学习能力，具备本专业或相近专业本科以上学历（含本科），或具有本专业中级以上技术资格证书。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2．专业带头人应具有较高的业务能力，并在区域内具有一定影响力；具有高级职称和高级职业资格，熟悉产业发展和行业对技能型人才的需求，在专业改革和发展中起引领作用。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3．以每年招收2个班为基数，本专业的教师人数应不少于7人，其中专职教师应不少于5人，教师数与学生数之比应大于1:20，专职教师中具有中级以上职称教师人数不低于40%，高级职称人数不低于15%。</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5.每年至少有一定数量的专业教师进行相应的专业实践。</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（二）教学设施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1.校内实训基地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校内实训室以实施拍摄实践实训教学为目标，参照相关职业场景来进行规划设计，保持设备、仪器、工具的更新换代，为学生提供实地拍摄和后期制作的环境与场所，并能实现“教学制作合一”的一体化教学的要求。</w:t>
      </w:r>
    </w:p>
    <w:tbl>
      <w:tblPr>
        <w:tblStyle w:val="19"/>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995"/>
        <w:gridCol w:w="559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953" w:type="dxa"/>
            <w:vMerge w:val="restart"/>
            <w:vAlign w:val="center"/>
          </w:tcPr>
          <w:p>
            <w:pPr>
              <w:pStyle w:val="62"/>
              <w:ind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序号</w:t>
            </w:r>
          </w:p>
        </w:tc>
        <w:tc>
          <w:tcPr>
            <w:tcW w:w="1995" w:type="dxa"/>
            <w:vMerge w:val="restart"/>
            <w:vAlign w:val="center"/>
          </w:tcPr>
          <w:p>
            <w:pPr>
              <w:pStyle w:val="62"/>
              <w:ind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实训室名称</w:t>
            </w:r>
          </w:p>
        </w:tc>
        <w:tc>
          <w:tcPr>
            <w:tcW w:w="6971" w:type="dxa"/>
            <w:gridSpan w:val="2"/>
            <w:vAlign w:val="center"/>
          </w:tcPr>
          <w:p>
            <w:pPr>
              <w:pStyle w:val="62"/>
              <w:ind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953" w:type="dxa"/>
            <w:vMerge w:val="continue"/>
            <w:vAlign w:val="center"/>
          </w:tcPr>
          <w:p>
            <w:pPr>
              <w:pStyle w:val="62"/>
              <w:ind w:firstLineChars="0"/>
              <w:jc w:val="center"/>
              <w:rPr>
                <w:rFonts w:hint="eastAsia" w:ascii="宋体" w:hAnsi="宋体" w:eastAsia="宋体" w:cs="宋体"/>
                <w:kern w:val="0"/>
                <w:sz w:val="24"/>
                <w:szCs w:val="24"/>
              </w:rPr>
            </w:pPr>
          </w:p>
        </w:tc>
        <w:tc>
          <w:tcPr>
            <w:tcW w:w="1995" w:type="dxa"/>
            <w:vMerge w:val="continue"/>
            <w:vAlign w:val="center"/>
          </w:tcPr>
          <w:p>
            <w:pPr>
              <w:pStyle w:val="62"/>
              <w:ind w:firstLineChars="0"/>
              <w:jc w:val="center"/>
              <w:rPr>
                <w:rFonts w:hint="eastAsia" w:ascii="宋体" w:hAnsi="宋体" w:eastAsia="宋体" w:cs="宋体"/>
                <w:kern w:val="0"/>
                <w:sz w:val="24"/>
                <w:szCs w:val="24"/>
              </w:rPr>
            </w:pPr>
          </w:p>
        </w:tc>
        <w:tc>
          <w:tcPr>
            <w:tcW w:w="5593" w:type="dxa"/>
            <w:vAlign w:val="center"/>
          </w:tcPr>
          <w:p>
            <w:pPr>
              <w:pStyle w:val="62"/>
              <w:ind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名称</w:t>
            </w:r>
          </w:p>
        </w:tc>
        <w:tc>
          <w:tcPr>
            <w:tcW w:w="1378"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953"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995"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灯光棚</w:t>
            </w:r>
          </w:p>
        </w:tc>
        <w:tc>
          <w:tcPr>
            <w:tcW w:w="5593"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各种灯光和移动拍摄设备</w:t>
            </w:r>
          </w:p>
        </w:tc>
        <w:tc>
          <w:tcPr>
            <w:tcW w:w="1378"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953"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995"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导播室</w:t>
            </w:r>
          </w:p>
        </w:tc>
        <w:tc>
          <w:tcPr>
            <w:tcW w:w="5593"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导播台及拍摄机器，摇臂</w:t>
            </w:r>
          </w:p>
        </w:tc>
        <w:tc>
          <w:tcPr>
            <w:tcW w:w="1378"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953"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995"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编辑房</w:t>
            </w:r>
          </w:p>
        </w:tc>
        <w:tc>
          <w:tcPr>
            <w:tcW w:w="5593"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60台学生用编辑设备</w:t>
            </w:r>
          </w:p>
        </w:tc>
        <w:tc>
          <w:tcPr>
            <w:tcW w:w="1378"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953"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995"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摄影棚</w:t>
            </w:r>
          </w:p>
        </w:tc>
        <w:tc>
          <w:tcPr>
            <w:tcW w:w="5593"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各种灯光和摄影设备</w:t>
            </w:r>
          </w:p>
        </w:tc>
        <w:tc>
          <w:tcPr>
            <w:tcW w:w="1378"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953"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995"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录音棚</w:t>
            </w:r>
          </w:p>
        </w:tc>
        <w:tc>
          <w:tcPr>
            <w:tcW w:w="5593"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各种录音设备</w:t>
            </w:r>
          </w:p>
        </w:tc>
        <w:tc>
          <w:tcPr>
            <w:tcW w:w="1378" w:type="dxa"/>
            <w:vAlign w:val="center"/>
          </w:tcPr>
          <w:p>
            <w:pPr>
              <w:pStyle w:val="62"/>
              <w:ind w:firstLineChars="0"/>
              <w:jc w:val="center"/>
              <w:rPr>
                <w:rFonts w:hint="eastAsia" w:ascii="宋体" w:hAnsi="宋体" w:eastAsia="宋体" w:cs="宋体"/>
                <w:sz w:val="21"/>
                <w:szCs w:val="21"/>
              </w:rPr>
            </w:pPr>
            <w:r>
              <w:rPr>
                <w:rFonts w:hint="eastAsia" w:ascii="宋体" w:hAnsi="宋体" w:eastAsia="宋体" w:cs="宋体"/>
                <w:sz w:val="21"/>
                <w:szCs w:val="21"/>
              </w:rPr>
              <w:t>若干</w:t>
            </w:r>
          </w:p>
        </w:tc>
      </w:tr>
    </w:tbl>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2.校外实训基地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以就业为导向贴近人才市场，与省内各电视台、影视传媒公司进行合作办学，建立了多个稳定的校外实训基地。视频后期制作专业大部分学生在最后半年里的毕业实践、实训的教学环节在校外实训基地进行，并结合工作实际完成毕业创作。每名教师指导学生不超过15人，指导教师中50%具有中级以上技术职务，并邀请校外专家、资深影视传媒人士参与毕业创作实习的设计与指导。这样学生掌握了在课堂上学不到的专业技巧和拍摄制作经验，得到了实践锻炼，为实现“零距离”上岗、开展顶岗实习创造了条件。</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（三）教学资源</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根据课程设计要求选择教育部职业教育规划教材，鼓励与企业行业专家合作，依据课程的整体设计编写理论实践一体化教材。</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（四）教学方法</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紧紧围绕“以服务为宗旨，以就业为导向”的人才培养目标，和行业企业合作，以影视剪辑师、影视特效师等典型工作岗位和专业技术能力分析为基础，以工作任务为课程设置和内容选择的参照点，参照影视剪辑师、影视特效师等职业资格标准，开发了专业人才培养方案，构建了基础性学习领域的实践教学—单项职业能力培养的实践教学—综合职业能力培养的实践教学—顶岗实习的实践教学，由此形成基本实践能力、专业技术应用能力、综合实践能力培养的三级实践教学体系，并将理论知识融于实践教学中，体现的是理论对实践教学的服务。以职业的岗位要求为核心构建实践教学体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（五）学习评价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bookmarkStart w:id="0" w:name="_Toc258913580"/>
      <w:bookmarkStart w:id="1" w:name="_Toc258913512"/>
      <w:r>
        <w:rPr>
          <w:rFonts w:hint="eastAsia" w:ascii="仿宋" w:hAnsi="仿宋" w:eastAsia="仿宋" w:cs="仿宋"/>
          <w:sz w:val="30"/>
          <w:szCs w:val="30"/>
        </w:rPr>
        <w:t>1、考核评价体系</w:t>
      </w:r>
      <w:bookmarkEnd w:id="0"/>
      <w:bookmarkEnd w:id="1"/>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（1）形成性评价（一体化课程）</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教学做过程中进行实时监控，探究教学中所存在的问题或缺陷，以便对教学工作进行调整。形成性评价可以根据需要在每个学习情境或者每个学习任务的实施过程中，将学生参加课堂学习、实践训练、小组协作学习、个别化辅导、任务完成情况等能反映学生学习态度、学习能力和学习效果的情况记录下来。结果形式：考勤表、项目考核手册等。</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（2）终结性评价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在课程结束时进行综合知识和能力的考核，以综合实训的实际操作考核为主，适当加入笔试，了解学生通过一个阶段的学习是否达到教学目标的要求。结果形式：实际操作成绩或试卷成绩。</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（3）课程最终考核评价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课程形成性考核总评结果达不到合格标准者，取消其参加终结性考核的资格；达到合格标准者，其形成性考核总评结果按规定比例与终结性考核结果合成，作为学生课程学业成绩的最终考核结果。总结果形式为成绩单。</w:t>
      </w:r>
      <w:bookmarkStart w:id="2" w:name="_Toc258913581"/>
      <w:bookmarkStart w:id="3" w:name="_Toc258913513"/>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2、考核评价记分</w:t>
      </w:r>
      <w:bookmarkEnd w:id="2"/>
      <w:bookmarkEnd w:id="3"/>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（1）百分制记分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考试课程实行百分制（60分及格）记分，考查课程和实践性课程也可以采用百分制记分。每门课程的学期成绩由形成性考核成绩和终结性考核成绩两部分组成。</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形成性考核成绩占总成绩60%，终结性考核成绩占总成绩40%。</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（2）四级制记分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实训项目考核采用四级制（优秀、良好、及格、不及格）评定，考核成绩由形成性考核成绩和项目考核成绩两部分构成。</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形成性考核成绩占总成绩40%，项目考核成绩占总成绩60%。</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百分制和四级制可按以下比例换算。优秀（90-100分），良好（70-89分），及格（60-69分），不及格（59分以下）。对有些用百分制难以评定的课程也可采用四级制。</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（六）质量管理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黑体" w:hAnsi="黑体" w:eastAsia="黑体"/>
          <w:sz w:val="30"/>
          <w:szCs w:val="30"/>
        </w:rPr>
      </w:pPr>
      <w:r>
        <w:rPr>
          <w:rFonts w:hint="eastAsia" w:ascii="仿宋" w:hAnsi="仿宋" w:eastAsia="仿宋" w:cs="仿宋"/>
          <w:sz w:val="30"/>
          <w:szCs w:val="30"/>
        </w:rPr>
        <w:t>与教务处共同协作对本专业教学实施进行管理，保障实际教学按照人才培养方案规划有效实施。同时，学校制定《教学计划的管理规定》、《课程标准的管理规定》、《学期授课计划管理规定》、《实践性教学管理规定》等教学运行管理制度和教学质量管理制度，切实保障教学质量。</w:t>
      </w:r>
      <w:bookmarkStart w:id="4" w:name="_Toc102800888"/>
    </w:p>
    <w:p>
      <w:pPr>
        <w:keepNext w:val="0"/>
        <w:keepLines w:val="0"/>
        <w:pageBreakBefore w:val="0"/>
        <w:widowControl w:val="0"/>
        <w:kinsoku/>
        <w:wordWrap/>
        <w:overflowPunct w:val="0"/>
        <w:topLinePunct/>
        <w:autoSpaceDE/>
        <w:autoSpaceDN/>
        <w:bidi w:val="0"/>
        <w:adjustRightInd w:val="0"/>
        <w:snapToGrid w:val="0"/>
        <w:spacing w:line="56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九、毕业要求</w:t>
      </w:r>
      <w:bookmarkEnd w:id="4"/>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具有良好的职业道德和身体素质，掌握本专业必须的基础理论和基本技能。通过本培养方案规定的全部教学环节，综合素质评价合格、各课程考核合格、实习考核（企业评价）合格。具备较快适应岗位实际工作的能力和素质，能运用所学知识分析和解决实际工作中的问题。同时，必须取得多媒体设计师证书或具有同等资质的职业资格证书之一，无违纪处分可准予毕业。</w:t>
      </w:r>
    </w:p>
    <w:sectPr>
      <w:footerReference r:id="rId8" w:type="default"/>
      <w:footerReference r:id="rId9"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88AFB23-A130-485E-A470-6B78EC933C5E}"/>
  </w:font>
  <w:font w:name="黑体">
    <w:panose1 w:val="02010609060101010101"/>
    <w:charset w:val="86"/>
    <w:family w:val="auto"/>
    <w:pitch w:val="default"/>
    <w:sig w:usb0="800002BF" w:usb1="38CF7CFA" w:usb2="00000016" w:usb3="00000000" w:csb0="00040001" w:csb1="00000000"/>
    <w:embedRegular r:id="rId2" w:fontKey="{6D7D51D3-5641-48F5-A977-5B7555DB99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3" w:fontKey="{E4B21D96-2CAF-40D6-91F6-14F48FC211C5}"/>
  </w:font>
  <w:font w:name="方正大黑_GBK">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4" w:fontKey="{8B6ACD8C-064B-4EB4-B948-25BFB382C0A2}"/>
  </w:font>
  <w:font w:name="华文中宋">
    <w:panose1 w:val="02010600040101010101"/>
    <w:charset w:val="86"/>
    <w:family w:val="auto"/>
    <w:pitch w:val="default"/>
    <w:sig w:usb0="00000287" w:usb1="080F0000" w:usb2="00000000" w:usb3="00000000" w:csb0="0004009F" w:csb1="DFD70000"/>
    <w:embedRegular r:id="rId5" w:fontKey="{7C8C8A24-8EBD-4673-9C8B-A8654F556643}"/>
  </w:font>
  <w:font w:name="Viner Hand ITC">
    <w:panose1 w:val="03070502030502020203"/>
    <w:charset w:val="00"/>
    <w:family w:val="script"/>
    <w:pitch w:val="default"/>
    <w:sig w:usb0="00000003" w:usb1="00000000" w:usb2="00000000" w:usb3="00000000" w:csb0="20000001" w:csb1="00000000"/>
    <w:embedRegular r:id="rId6" w:fontKey="{75B213C3-D73C-47F3-A537-55ACD475EC71}"/>
  </w:font>
  <w:font w:name="仿宋">
    <w:panose1 w:val="02010609060101010101"/>
    <w:charset w:val="86"/>
    <w:family w:val="modern"/>
    <w:pitch w:val="default"/>
    <w:sig w:usb0="800002BF" w:usb1="38CF7CFA" w:usb2="00000016" w:usb3="00000000" w:csb0="00040001" w:csb1="00000000"/>
    <w:embedRegular r:id="rId7" w:fontKey="{192E4AB8-7B83-4157-A4E9-D997FFFEE4F2}"/>
  </w:font>
  <w:font w:name="仿宋_GB2312">
    <w:altName w:val="仿宋"/>
    <w:panose1 w:val="02010609030101010101"/>
    <w:charset w:val="86"/>
    <w:family w:val="modern"/>
    <w:pitch w:val="default"/>
    <w:sig w:usb0="00000000" w:usb1="00000000" w:usb2="00000000" w:usb3="00000000" w:csb0="00040000" w:csb1="00000000"/>
    <w:embedRegular r:id="rId8" w:fontKey="{DE38F573-BE2A-4101-8048-DD2310642F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hint="eastAsia"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F0DE3"/>
    <w:multiLevelType w:val="multilevel"/>
    <w:tmpl w:val="420F0DE3"/>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7679AAD4"/>
    <w:multiLevelType w:val="singleLevel"/>
    <w:tmpl w:val="7679AAD4"/>
    <w:lvl w:ilvl="0" w:tentative="0">
      <w:start w:val="2"/>
      <w:numFmt w:val="chineseCounting"/>
      <w:suff w:val="nothing"/>
      <w:lvlText w:val="（%1）"/>
      <w:lvlJc w:val="left"/>
      <w:rPr>
        <w:rFonts w:hint="eastAsia"/>
      </w:rPr>
    </w:lvl>
  </w:abstractNum>
  <w:abstractNum w:abstractNumId="2">
    <w:nsid w:val="77054A87"/>
    <w:multiLevelType w:val="multilevel"/>
    <w:tmpl w:val="77054A87"/>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3806F86"/>
    <w:rsid w:val="041E22FB"/>
    <w:rsid w:val="0495080F"/>
    <w:rsid w:val="04BB7ED2"/>
    <w:rsid w:val="04FE5E29"/>
    <w:rsid w:val="05300538"/>
    <w:rsid w:val="05485881"/>
    <w:rsid w:val="0843749E"/>
    <w:rsid w:val="08687FE8"/>
    <w:rsid w:val="0C9A470F"/>
    <w:rsid w:val="0D2F21E6"/>
    <w:rsid w:val="0D732B2C"/>
    <w:rsid w:val="0E1108AC"/>
    <w:rsid w:val="0E224237"/>
    <w:rsid w:val="0E423199"/>
    <w:rsid w:val="0E8813E4"/>
    <w:rsid w:val="0EAA0375"/>
    <w:rsid w:val="0F5509B0"/>
    <w:rsid w:val="108452C1"/>
    <w:rsid w:val="10C2298C"/>
    <w:rsid w:val="11A9611E"/>
    <w:rsid w:val="1248188D"/>
    <w:rsid w:val="12C56763"/>
    <w:rsid w:val="15BF16CB"/>
    <w:rsid w:val="1739003E"/>
    <w:rsid w:val="17442A96"/>
    <w:rsid w:val="17461261"/>
    <w:rsid w:val="17B97ABD"/>
    <w:rsid w:val="18422604"/>
    <w:rsid w:val="19746533"/>
    <w:rsid w:val="19EC6BD7"/>
    <w:rsid w:val="1A741289"/>
    <w:rsid w:val="1ABD1DF6"/>
    <w:rsid w:val="1B1A2373"/>
    <w:rsid w:val="1BA522ED"/>
    <w:rsid w:val="1D1522F2"/>
    <w:rsid w:val="1D912C10"/>
    <w:rsid w:val="20225213"/>
    <w:rsid w:val="208E5E96"/>
    <w:rsid w:val="2120368E"/>
    <w:rsid w:val="21982431"/>
    <w:rsid w:val="21A50B57"/>
    <w:rsid w:val="232C14B1"/>
    <w:rsid w:val="23474F72"/>
    <w:rsid w:val="2355768F"/>
    <w:rsid w:val="24861ACA"/>
    <w:rsid w:val="24CD1C80"/>
    <w:rsid w:val="24CD76F9"/>
    <w:rsid w:val="27BD5803"/>
    <w:rsid w:val="27D05536"/>
    <w:rsid w:val="287D718B"/>
    <w:rsid w:val="289730BA"/>
    <w:rsid w:val="28AA222B"/>
    <w:rsid w:val="2953641F"/>
    <w:rsid w:val="29A9603F"/>
    <w:rsid w:val="29F73A25"/>
    <w:rsid w:val="2A110088"/>
    <w:rsid w:val="2A135BAE"/>
    <w:rsid w:val="2B807273"/>
    <w:rsid w:val="2B84745F"/>
    <w:rsid w:val="2BBC622D"/>
    <w:rsid w:val="2BD73F0E"/>
    <w:rsid w:val="2CD15DCE"/>
    <w:rsid w:val="2D9554F2"/>
    <w:rsid w:val="2E2E745B"/>
    <w:rsid w:val="2E8C4181"/>
    <w:rsid w:val="2ED07704"/>
    <w:rsid w:val="30CB2D3F"/>
    <w:rsid w:val="3140197F"/>
    <w:rsid w:val="35635C3C"/>
    <w:rsid w:val="366C6D72"/>
    <w:rsid w:val="36CE1162"/>
    <w:rsid w:val="371043AE"/>
    <w:rsid w:val="389D7539"/>
    <w:rsid w:val="38D46E50"/>
    <w:rsid w:val="3AA41AE8"/>
    <w:rsid w:val="3AC71D0D"/>
    <w:rsid w:val="3B48444D"/>
    <w:rsid w:val="3BF07AFD"/>
    <w:rsid w:val="3BF51058"/>
    <w:rsid w:val="3E496D17"/>
    <w:rsid w:val="3EF9251F"/>
    <w:rsid w:val="3F9D3335"/>
    <w:rsid w:val="3FEA4211"/>
    <w:rsid w:val="4069269E"/>
    <w:rsid w:val="40A13ABC"/>
    <w:rsid w:val="40BC08F6"/>
    <w:rsid w:val="420662CD"/>
    <w:rsid w:val="439F2829"/>
    <w:rsid w:val="43FC76CD"/>
    <w:rsid w:val="449D27EC"/>
    <w:rsid w:val="45233CAF"/>
    <w:rsid w:val="46A37E92"/>
    <w:rsid w:val="46EB3CE3"/>
    <w:rsid w:val="47E70106"/>
    <w:rsid w:val="482E5121"/>
    <w:rsid w:val="488A12DA"/>
    <w:rsid w:val="4897331F"/>
    <w:rsid w:val="48CD7A4F"/>
    <w:rsid w:val="498B60E9"/>
    <w:rsid w:val="4A6921BC"/>
    <w:rsid w:val="4B1135EE"/>
    <w:rsid w:val="4C942727"/>
    <w:rsid w:val="4D302450"/>
    <w:rsid w:val="4E1D32BD"/>
    <w:rsid w:val="4EBB21ED"/>
    <w:rsid w:val="4FFA6D45"/>
    <w:rsid w:val="50493828"/>
    <w:rsid w:val="505E5526"/>
    <w:rsid w:val="54BF7F8B"/>
    <w:rsid w:val="56093997"/>
    <w:rsid w:val="56332FB1"/>
    <w:rsid w:val="56965235"/>
    <w:rsid w:val="57262899"/>
    <w:rsid w:val="572B1A2F"/>
    <w:rsid w:val="58306F9A"/>
    <w:rsid w:val="58FA61CD"/>
    <w:rsid w:val="5A9600C8"/>
    <w:rsid w:val="5ADF54B5"/>
    <w:rsid w:val="5BCA7F13"/>
    <w:rsid w:val="5D704AEA"/>
    <w:rsid w:val="5DFF6AED"/>
    <w:rsid w:val="5E1F0D3F"/>
    <w:rsid w:val="60681AA9"/>
    <w:rsid w:val="610619ED"/>
    <w:rsid w:val="61D770D4"/>
    <w:rsid w:val="61EA6C19"/>
    <w:rsid w:val="63085EC5"/>
    <w:rsid w:val="65FE0EE5"/>
    <w:rsid w:val="661A1A97"/>
    <w:rsid w:val="674C6628"/>
    <w:rsid w:val="68D8137E"/>
    <w:rsid w:val="68E50599"/>
    <w:rsid w:val="69961435"/>
    <w:rsid w:val="6A1A02B8"/>
    <w:rsid w:val="6D125276"/>
    <w:rsid w:val="6E2816DE"/>
    <w:rsid w:val="6FFF2863"/>
    <w:rsid w:val="702C2AF3"/>
    <w:rsid w:val="705A1D94"/>
    <w:rsid w:val="715A029C"/>
    <w:rsid w:val="73701EFD"/>
    <w:rsid w:val="738F4DA6"/>
    <w:rsid w:val="73B451E2"/>
    <w:rsid w:val="73BC5F3C"/>
    <w:rsid w:val="749534C9"/>
    <w:rsid w:val="751108EE"/>
    <w:rsid w:val="75137B94"/>
    <w:rsid w:val="779B5978"/>
    <w:rsid w:val="786C6E8A"/>
    <w:rsid w:val="7878534F"/>
    <w:rsid w:val="7A0D370B"/>
    <w:rsid w:val="7C1E59E5"/>
    <w:rsid w:val="7C7B1EAF"/>
    <w:rsid w:val="7CF577B3"/>
    <w:rsid w:val="7D4E6C16"/>
    <w:rsid w:val="7D7D0EC6"/>
    <w:rsid w:val="7E4F0F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snapToGrid w:val="0"/>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beforeLines="0" w:after="60" w:afterLines="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Body Text Indent 2"/>
    <w:basedOn w:val="1"/>
    <w:link w:val="42"/>
    <w:qFormat/>
    <w:uiPriority w:val="0"/>
    <w:pPr>
      <w:spacing w:after="120" w:afterLines="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 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annotation reference"/>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topLinePunct/>
      <w:adjustRightInd w:val="0"/>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Plain Text"/>
    <w:basedOn w:val="1"/>
    <w:link w:val="63"/>
    <w:qFormat/>
    <w:uiPriority w:val="0"/>
    <w:rPr>
      <w:rFonts w:ascii="宋体" w:hAnsi="Courier New"/>
      <w:snapToGrid/>
      <w:sz w:val="21"/>
    </w:rPr>
  </w:style>
  <w:style w:type="character" w:customStyle="1" w:styleId="65">
    <w:name w:val=" 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Body Text Indent"/>
    <w:basedOn w:val="1"/>
    <w:link w:val="66"/>
    <w:qFormat/>
    <w:uiPriority w:val="0"/>
    <w:pPr>
      <w:spacing w:after="120" w:afterLines="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annotation subject"/>
    <w:basedOn w:val="6"/>
    <w:next w:val="6"/>
    <w:link w:val="72"/>
    <w:qFormat/>
    <w:uiPriority w:val="0"/>
    <w:rPr>
      <w:rFonts w:ascii="Times New Roman" w:hAnsi="Times New Roman"/>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Book Title"/>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Lines="0" w:beforeAutospacing="1" w:after="100" w:afterLines="0" w:afterAutospacing="1"/>
      <w:jc w:val="left"/>
      <w:textAlignment w:val="bottom"/>
    </w:pPr>
    <w:rPr>
      <w:rFonts w:ascii="宋体" w:hAnsi="宋体" w:cs="宋体"/>
      <w:kern w:val="0"/>
      <w:sz w:val="24"/>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89">
    <w:name w:val="xl8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szCs w:val="24"/>
    </w:rPr>
  </w:style>
  <w:style w:type="paragraph" w:customStyle="1" w:styleId="91">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5">
    <w:name w:val="Char Char Char1 Char Char Char Char Char Char Char Char Char Char Char Char Char"/>
    <w:basedOn w:val="1"/>
    <w:qFormat/>
    <w:uiPriority w:val="0"/>
    <w:rPr>
      <w:rFonts w:ascii="Tahoma" w:hAnsi="Tahoma"/>
      <w:sz w:val="24"/>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0">
    <w:name w:val="font7"/>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szCs w:val="24"/>
    </w:rPr>
  </w:style>
  <w:style w:type="paragraph" w:customStyle="1" w:styleId="105">
    <w:name w:val="Revision"/>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1">
    <w:name w:val="font8"/>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 w:val="24"/>
      <w:szCs w:val="24"/>
    </w:rPr>
  </w:style>
  <w:style w:type="paragraph" w:customStyle="1" w:styleId="114">
    <w:name w:val=" 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6">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8">
    <w:name w:val="font9"/>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10699</Words>
  <Characters>11167</Characters>
  <Lines>59</Lines>
  <Paragraphs>16</Paragraphs>
  <TotalTime>0</TotalTime>
  <ScaleCrop>false</ScaleCrop>
  <LinksUpToDate>false</LinksUpToDate>
  <CharactersWithSpaces>11256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2024-06-11T03:16:14Z</dcterms:modified>
  <dc:title>中等职业学校计算机网络技术专业教学标准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1857CB234B84492A8F791AFA74FCA313</vt:lpwstr>
  </property>
</Properties>
</file>